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B3EE" w14:textId="77777777" w:rsidR="0063625B" w:rsidRDefault="0063625B" w:rsidP="009D1AEB">
      <w:pPr>
        <w:jc w:val="right"/>
        <w:rPr>
          <w:rFonts w:cs="Arial"/>
        </w:rPr>
      </w:pPr>
    </w:p>
    <w:p w14:paraId="669DB3E9" w14:textId="77777777" w:rsidR="0063625B" w:rsidRDefault="0063625B" w:rsidP="009D1AEB">
      <w:pPr>
        <w:jc w:val="right"/>
        <w:rPr>
          <w:rFonts w:cs="Arial"/>
        </w:rPr>
      </w:pPr>
    </w:p>
    <w:p w14:paraId="6AD68AC6" w14:textId="1977E149" w:rsidR="00D96DC0" w:rsidRDefault="007004FB" w:rsidP="00450EF0">
      <w:pPr>
        <w:jc w:val="right"/>
        <w:rPr>
          <w:rFonts w:cs="Arial"/>
        </w:rPr>
      </w:pPr>
      <w:r>
        <w:rPr>
          <w:rFonts w:cs="Arial"/>
        </w:rPr>
        <w:t>Wrocław</w:t>
      </w:r>
      <w:r w:rsidR="009D1AEB" w:rsidRPr="00EF05C9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450EF0">
        <w:rPr>
          <w:rFonts w:cs="Arial"/>
        </w:rPr>
        <w:t>6</w:t>
      </w:r>
      <w:r w:rsidR="00526290">
        <w:rPr>
          <w:rFonts w:cs="Arial"/>
        </w:rPr>
        <w:t xml:space="preserve"> </w:t>
      </w:r>
      <w:r w:rsidR="00450EF0">
        <w:rPr>
          <w:rFonts w:cs="Arial"/>
        </w:rPr>
        <w:t>sierpnia</w:t>
      </w:r>
      <w:r w:rsidR="00F57311">
        <w:rPr>
          <w:rFonts w:cs="Arial"/>
        </w:rPr>
        <w:t xml:space="preserve"> 202</w:t>
      </w:r>
      <w:r w:rsidR="00174E70">
        <w:rPr>
          <w:rFonts w:cs="Arial"/>
        </w:rPr>
        <w:t>4</w:t>
      </w:r>
      <w:r w:rsidR="009D1AEB" w:rsidRPr="003D74BF">
        <w:rPr>
          <w:rFonts w:cs="Arial"/>
        </w:rPr>
        <w:t xml:space="preserve"> r.</w:t>
      </w:r>
    </w:p>
    <w:p w14:paraId="5396EF8D" w14:textId="77777777" w:rsidR="00450EF0" w:rsidRPr="00450EF0" w:rsidRDefault="00450EF0" w:rsidP="00450EF0">
      <w:pPr>
        <w:jc w:val="right"/>
        <w:rPr>
          <w:rFonts w:cs="Arial"/>
        </w:rPr>
      </w:pPr>
    </w:p>
    <w:p w14:paraId="7C67EB4A" w14:textId="0AC00317" w:rsidR="00450EF0" w:rsidRPr="00450EF0" w:rsidRDefault="00450EF0" w:rsidP="00450EF0">
      <w:pPr>
        <w:pStyle w:val="Nagwek1"/>
        <w:rPr>
          <w:rFonts w:ascii="Calibri" w:eastAsia="Times New Roman" w:hAnsi="Calibri"/>
          <w:sz w:val="22"/>
          <w:szCs w:val="22"/>
        </w:rPr>
      </w:pPr>
      <w:r w:rsidRPr="00450EF0">
        <w:rPr>
          <w:rFonts w:eastAsia="Times New Roman"/>
          <w:sz w:val="22"/>
          <w:szCs w:val="22"/>
        </w:rPr>
        <w:t>Środki z KPO na kolej wydamy efektywnie</w:t>
      </w:r>
    </w:p>
    <w:p w14:paraId="6293EF40" w14:textId="5C0DE1BB" w:rsidR="00450EF0" w:rsidRDefault="00450EF0" w:rsidP="00450EF0">
      <w:p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 xml:space="preserve">Ministerstwo Infrastruktury dokonało przeglądu projektów planowanych do wdrożenia przez PKP Polskie Linie Kolejowe SA, finansowanych z Krajowego Planu Odbudowy i Zwiększenia Odporności (KPO). Efektem tych prac jest decyzja o zmianie sposobu zagospodarowania części środków zaplanowanych na ten cel. Zostaną one przeznaczone na realizację projektów </w:t>
      </w:r>
      <w:r w:rsidR="00667921">
        <w:rPr>
          <w:rFonts w:eastAsia="Times New Roman"/>
        </w:rPr>
        <w:t>PLK SA</w:t>
      </w:r>
      <w:r>
        <w:rPr>
          <w:rFonts w:eastAsia="Times New Roman"/>
        </w:rPr>
        <w:t>, dzięki którym osiągnięte zostaną lepsze efekty dla rozwoju sieci kolejowej w Polsce.</w:t>
      </w:r>
    </w:p>
    <w:p w14:paraId="7B77C3B7" w14:textId="4104FB38" w:rsidR="00450EF0" w:rsidRDefault="00450EF0" w:rsidP="00450EF0">
      <w:p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Zmiana alokacji finansowania części inwestycji kolejowych dotyczy wyłącznie nieefektywnych zadań, których realizacja mogłaby wpłynąć na poniesienie niezasadnych kosztów przy braku spodziewanych efektów. Chodzi o takie zadania, których realizacja mogłaby prowadzić np. do utrwalenia dotychczasowego, niekorzystnego układu torowego, konieczności wprowadzania dalszych zmian w ramach obszaru prowadzenia inwestycji, kolizje z innymi planowanymi działaniami lub powstania po realizacji zadania wąskiego gardła, którego usunięcie spowodowałoby znaczny wzrost kosztów inwestycji.</w:t>
      </w:r>
    </w:p>
    <w:p w14:paraId="3C9C4269" w14:textId="4EBEF100" w:rsidR="00450EF0" w:rsidRDefault="00450EF0" w:rsidP="00450EF0">
      <w:p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 xml:space="preserve">–  </w:t>
      </w:r>
      <w:r w:rsidRPr="00450EF0">
        <w:rPr>
          <w:rFonts w:eastAsia="Times New Roman"/>
          <w:i/>
          <w:iCs/>
        </w:rPr>
        <w:t>Działania korygujące prowadzimy od grudnia ubiegłego roku. W ramach tych prac dokonujemy przeglądu wcześniej planowanych inwestycji. Pierwszym z efektów przeglądu była Towarowa Obwodnica Poznania, a kolejne dotyczą inwestycji zaplanowanych do finansowania z KPO, zadań przewidzianych w programie Kolej + oraz Krajowego Programu Kolejowego.  Niestety, z uwagi na duże zaawansowanie, często na etapie budowl</w:t>
      </w:r>
      <w:r w:rsidR="00667921">
        <w:rPr>
          <w:rFonts w:eastAsia="Times New Roman"/>
          <w:i/>
          <w:iCs/>
        </w:rPr>
        <w:t>a</w:t>
      </w:r>
      <w:r w:rsidRPr="00450EF0">
        <w:rPr>
          <w:rFonts w:eastAsia="Times New Roman"/>
          <w:i/>
          <w:iCs/>
        </w:rPr>
        <w:t>nym, nie udało się zatrzymać niektórych absurdalnych pod kątem transportowym, ekonomicznym i społecznym inwestycji w Programie Przystankowym, w ramach którego powstały bez żadnych analiz przystanki, z których nikt nie korzysta. Przykładem takiej inwestycji jest przystanek Patrzyków na magistrali Warszawa – Poznań, na którym zatrzymało się 4 tys. pociągów, a skorzystały z niego zaledwie 23 osoby.  Ministerstwo Infrastruktury stawia i będzie stawiać bardzo duży nacisk na efektywne inwestowanie środków publicznych, generujących jak największy efekt dla pasażerów, przewoźników i konkurencyjności całego sektora transportu kolejowego</w:t>
      </w:r>
      <w:r>
        <w:rPr>
          <w:rFonts w:eastAsia="Times New Roman"/>
        </w:rPr>
        <w:t xml:space="preserve"> – powiedział wiceminister infrastruktury Piotr Malepszak.</w:t>
      </w:r>
    </w:p>
    <w:p w14:paraId="51AC8498" w14:textId="77777777" w:rsidR="00450EF0" w:rsidRDefault="00450EF0" w:rsidP="00450EF0">
      <w:pPr>
        <w:spacing w:before="100" w:beforeAutospacing="1" w:after="100" w:afterAutospacing="1" w:line="360" w:lineRule="auto"/>
        <w:rPr>
          <w:rFonts w:eastAsia="Times New Roman"/>
        </w:rPr>
      </w:pPr>
    </w:p>
    <w:p w14:paraId="62679BE0" w14:textId="77777777" w:rsidR="00450EF0" w:rsidRDefault="00450EF0" w:rsidP="00450EF0">
      <w:pPr>
        <w:spacing w:before="100" w:beforeAutospacing="1" w:after="100" w:afterAutospacing="1" w:line="360" w:lineRule="auto"/>
        <w:rPr>
          <w:rFonts w:eastAsia="Times New Roman"/>
        </w:rPr>
      </w:pPr>
    </w:p>
    <w:p w14:paraId="466D4CB4" w14:textId="02C087FE" w:rsidR="00450EF0" w:rsidRDefault="00450EF0" w:rsidP="00450EF0">
      <w:p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W związku z decyzją o przesunięciu przyznanego w ramach KPO finansowania na inne projekty kolejowe, PKP Polskie Linie Kolejowe odstąpiły od zawarcia umów w ramach następujących postępowań:</w:t>
      </w:r>
    </w:p>
    <w:p w14:paraId="106A9787" w14:textId="0494F9D1" w:rsidR="00450EF0" w:rsidRDefault="00450EF0" w:rsidP="00450EF0">
      <w:p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•             „Zabudowa urządzeń SDIP granica IZ Olsztyn – Jamielnik na LK 353 wraz z zabudową terminala operatora na st. Iława”</w:t>
      </w:r>
    </w:p>
    <w:p w14:paraId="163814C5" w14:textId="62406C9D" w:rsidR="00450EF0" w:rsidRDefault="00450EF0" w:rsidP="00450EF0">
      <w:p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•             „Zaprojektowanie, dostawa i zabudowa urządzeń Centralnego Systemu Dynamicznej Informacji Pasażerskiej na linii kolejowej nr 190 na odcinku Skoczów – Cieszyn” oraz „Zaprojektowanie, dostawa i zabudowa urządzeń Centralnego Systemu Dynamicznej Informacji Pasażerskiej na linii kolejowej nr 191 na odcinku Goleszów – Wisła Głębce”</w:t>
      </w:r>
    </w:p>
    <w:p w14:paraId="0330DA77" w14:textId="5C93AAE2" w:rsidR="00450EF0" w:rsidRDefault="00450EF0" w:rsidP="00450EF0">
      <w:p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•             „Zabudowa CSDIP i SMW na liniach: nr 219 (odcinek Szczytno – Ełk Towarowy), nr 220 (odcinek Olsztyn Śródmieście – Olsztyn Gutkowo)”</w:t>
      </w:r>
    </w:p>
    <w:p w14:paraId="34C55A0C" w14:textId="280F96DD" w:rsidR="00450EF0" w:rsidRDefault="00450EF0" w:rsidP="00450EF0">
      <w:p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•             „Przebudowa urządzeń srk w stacji Powroźnik. Zabudowa systemu nadrzędnego z włączeniem do zdalnego sterowania stacji Krynica Zdrój „Kr””</w:t>
      </w:r>
    </w:p>
    <w:p w14:paraId="647DB997" w14:textId="791B724D" w:rsidR="00450EF0" w:rsidRDefault="00450EF0" w:rsidP="00450EF0">
      <w:p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•             „Włączenie sterowania stacjami Brzeźnica i Przeciszów do st. Spytkowice”</w:t>
      </w:r>
    </w:p>
    <w:p w14:paraId="7D23F24B" w14:textId="2CFCE1E5" w:rsidR="00450EF0" w:rsidRDefault="00450EF0" w:rsidP="00450EF0">
      <w:p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•             „Modernizacja urządzeń SRK w stacji Kraków Nowa Huta NHA i budowa urządzeń sterowania zdalnego podg Kościelnik”</w:t>
      </w:r>
    </w:p>
    <w:p w14:paraId="660DEAD0" w14:textId="7C72D3A6" w:rsidR="00450EF0" w:rsidRDefault="00450EF0" w:rsidP="00450EF0">
      <w:p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•             „Przeniesienie sterowania st. Papowo Toruńskie, Turzno, Wąbrzeźno do st. Kowalewo Pomorskie”</w:t>
      </w:r>
    </w:p>
    <w:p w14:paraId="0407783C" w14:textId="5C2E6FC1" w:rsidR="00450EF0" w:rsidRDefault="00450EF0" w:rsidP="00450EF0">
      <w:p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•             „Zabudowa zdalnego sterowania na nastawni w Siedlcach (sterowanie stacjami Platerów, Niemojki oraz Sokołów Podlaski)”</w:t>
      </w:r>
    </w:p>
    <w:p w14:paraId="27B51933" w14:textId="6F24CC03" w:rsidR="00450EF0" w:rsidRDefault="00450EF0" w:rsidP="00450EF0">
      <w:p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•             „Zabudowa urządzeń sterowania zdalnego podg Książki zew st. Jabłonowo Pomorskie”</w:t>
      </w:r>
    </w:p>
    <w:p w14:paraId="6BC140D7" w14:textId="273A8C59" w:rsidR="00450EF0" w:rsidRDefault="00450EF0" w:rsidP="00450EF0">
      <w:p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•             „Zabudowa urządzeń sterowania zdalnego na st. Kołodziejowo, Janikowo ze sterowaniem ze st. Mogilno”</w:t>
      </w:r>
    </w:p>
    <w:p w14:paraId="6FE16F3D" w14:textId="77777777" w:rsidR="00450EF0" w:rsidRDefault="00450EF0" w:rsidP="00450EF0">
      <w:p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•             „Budowa stacji Surochów na linii kolejowej nr 101 Munia – Hrebenne”</w:t>
      </w:r>
    </w:p>
    <w:p w14:paraId="3675702C" w14:textId="77777777" w:rsidR="00450EF0" w:rsidRDefault="00450EF0" w:rsidP="00450EF0">
      <w:pPr>
        <w:spacing w:before="100" w:beforeAutospacing="1" w:after="100" w:afterAutospacing="1" w:line="360" w:lineRule="auto"/>
        <w:rPr>
          <w:rFonts w:eastAsia="Times New Roman"/>
        </w:rPr>
      </w:pPr>
    </w:p>
    <w:p w14:paraId="525D08F2" w14:textId="77777777" w:rsidR="00450EF0" w:rsidRDefault="00450EF0" w:rsidP="00450EF0">
      <w:pPr>
        <w:spacing w:before="100" w:beforeAutospacing="1" w:after="100" w:afterAutospacing="1" w:line="360" w:lineRule="auto"/>
        <w:rPr>
          <w:rFonts w:eastAsia="Times New Roman"/>
        </w:rPr>
      </w:pPr>
    </w:p>
    <w:p w14:paraId="325CB967" w14:textId="70A15845" w:rsidR="00450EF0" w:rsidRDefault="00667921" w:rsidP="00450EF0">
      <w:p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PLK SA</w:t>
      </w:r>
      <w:r w:rsidR="00450EF0">
        <w:rPr>
          <w:rFonts w:eastAsia="Times New Roman"/>
        </w:rPr>
        <w:t xml:space="preserve"> zostały zobowiązane do zagospodarowania około 500 mln zł, które zostaną przeznaczone na poszerzenie zakresów innych zadań lub realizację kolejnych projektów, które przyniosą większe korzyści i lepsze efekty dla podniesienia komfortu podróżowania i rozwoju transportu kolejowego.</w:t>
      </w:r>
    </w:p>
    <w:p w14:paraId="2A418274" w14:textId="72128EA7" w:rsidR="00450EF0" w:rsidRDefault="00667921" w:rsidP="00450EF0">
      <w:p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PLK SA</w:t>
      </w:r>
      <w:r w:rsidR="00450EF0">
        <w:rPr>
          <w:rFonts w:eastAsia="Times New Roman"/>
        </w:rPr>
        <w:t xml:space="preserve">  niezwłocznie wdrożyły działania mające na celu możliwie jak najszybsze uruchomienie projektów pozwalających na pełne zagospodarowanie wskazanej powyżej kwoty. </w:t>
      </w:r>
      <w:r>
        <w:rPr>
          <w:rFonts w:eastAsia="Times New Roman"/>
        </w:rPr>
        <w:t>PLK SA</w:t>
      </w:r>
      <w:r w:rsidR="00450EF0">
        <w:rPr>
          <w:rFonts w:eastAsia="Times New Roman"/>
        </w:rPr>
        <w:t xml:space="preserve"> wraz z Centrum Unijnych Projektów Transportowych wszczęły już procedurę aneksowania umów o dofinansowanie z KPO. Wybrane postępowania, mające na celu zagospodarowanie środków z KPO, </w:t>
      </w:r>
      <w:r>
        <w:rPr>
          <w:rFonts w:eastAsia="Times New Roman"/>
        </w:rPr>
        <w:t>PLK SA</w:t>
      </w:r>
      <w:r w:rsidR="00450EF0">
        <w:rPr>
          <w:rFonts w:eastAsia="Times New Roman"/>
        </w:rPr>
        <w:t xml:space="preserve"> planują ogłosić w IV kwartale 2024 roku. Łączna wartość unijnego wsparcia z KPO na kolej to przeszło 18 mld zł.</w:t>
      </w:r>
    </w:p>
    <w:p w14:paraId="1064C3CF" w14:textId="7CD2F96F" w:rsidR="00450EF0" w:rsidRPr="00450EF0" w:rsidRDefault="00450EF0" w:rsidP="00450EF0">
      <w:pPr>
        <w:spacing w:after="0" w:line="360" w:lineRule="auto"/>
        <w:rPr>
          <w:rFonts w:eastAsia="Times New Roman"/>
          <w:b/>
          <w:bCs/>
        </w:rPr>
      </w:pPr>
      <w:r w:rsidRPr="00450EF0">
        <w:rPr>
          <w:rFonts w:eastAsia="Times New Roman"/>
          <w:b/>
          <w:bCs/>
        </w:rPr>
        <w:t>Kontakt dla mediów:</w:t>
      </w:r>
    </w:p>
    <w:p w14:paraId="62D930DE" w14:textId="0C603859" w:rsidR="00450EF0" w:rsidRDefault="00450EF0" w:rsidP="00450EF0">
      <w:pPr>
        <w:spacing w:after="0" w:line="360" w:lineRule="auto"/>
        <w:rPr>
          <w:rFonts w:eastAsia="Times New Roman"/>
        </w:rPr>
      </w:pPr>
      <w:r>
        <w:rPr>
          <w:rFonts w:eastAsia="Times New Roman"/>
        </w:rPr>
        <w:t>Rusłana Krzemińska</w:t>
      </w:r>
    </w:p>
    <w:p w14:paraId="5A39EF9A" w14:textId="658FC069" w:rsidR="00450EF0" w:rsidRDefault="00450EF0" w:rsidP="00450EF0">
      <w:pPr>
        <w:spacing w:after="0" w:line="360" w:lineRule="auto"/>
        <w:rPr>
          <w:rFonts w:eastAsia="Times New Roman"/>
        </w:rPr>
      </w:pPr>
      <w:r>
        <w:rPr>
          <w:rFonts w:eastAsia="Times New Roman"/>
        </w:rPr>
        <w:t xml:space="preserve">rzecznik prasowy </w:t>
      </w:r>
    </w:p>
    <w:p w14:paraId="0DF2797E" w14:textId="340FD4F5" w:rsidR="00450EF0" w:rsidRDefault="00450EF0" w:rsidP="00450EF0">
      <w:pPr>
        <w:spacing w:after="0" w:line="360" w:lineRule="auto"/>
        <w:rPr>
          <w:rFonts w:eastAsia="Times New Roman"/>
        </w:rPr>
      </w:pPr>
      <w:r>
        <w:rPr>
          <w:rFonts w:eastAsia="Times New Roman"/>
        </w:rPr>
        <w:t>PKP Polskie Linie Kolejowe S.A.</w:t>
      </w:r>
    </w:p>
    <w:p w14:paraId="102D1A6D" w14:textId="75D7AC1C" w:rsidR="00450EF0" w:rsidRDefault="00000000" w:rsidP="00450EF0">
      <w:pPr>
        <w:spacing w:after="0" w:line="360" w:lineRule="auto"/>
        <w:rPr>
          <w:rFonts w:eastAsia="Times New Roman"/>
        </w:rPr>
      </w:pPr>
      <w:hyperlink r:id="rId9" w:history="1">
        <w:r w:rsidR="00450EF0" w:rsidRPr="009D4ABE">
          <w:rPr>
            <w:rStyle w:val="Hipercze"/>
            <w:rFonts w:eastAsia="Times New Roman"/>
          </w:rPr>
          <w:t>rzecznik@plk-sa.pl</w:t>
        </w:r>
      </w:hyperlink>
    </w:p>
    <w:p w14:paraId="2811123D" w14:textId="51573991" w:rsidR="00450EF0" w:rsidRDefault="00450EF0" w:rsidP="00450EF0">
      <w:pPr>
        <w:spacing w:after="0" w:line="360" w:lineRule="auto"/>
        <w:rPr>
          <w:rFonts w:eastAsia="Times New Roman"/>
        </w:rPr>
      </w:pPr>
      <w:r>
        <w:rPr>
          <w:rFonts w:eastAsia="Times New Roman"/>
        </w:rPr>
        <w:t>22 4</w:t>
      </w:r>
      <w:r w:rsidR="0053419C">
        <w:rPr>
          <w:rFonts w:eastAsia="Times New Roman"/>
        </w:rPr>
        <w:t>7</w:t>
      </w:r>
      <w:r>
        <w:rPr>
          <w:rFonts w:eastAsia="Times New Roman"/>
        </w:rPr>
        <w:t>3 30 02</w:t>
      </w:r>
    </w:p>
    <w:p w14:paraId="2E367468" w14:textId="77777777" w:rsidR="00450EF0" w:rsidRDefault="00450EF0" w:rsidP="00450EF0">
      <w:pPr>
        <w:rPr>
          <w:rFonts w:eastAsia="Times New Roman"/>
        </w:rPr>
      </w:pPr>
    </w:p>
    <w:p w14:paraId="7287E0BE" w14:textId="33F9F287" w:rsidR="00F05BC8" w:rsidRPr="00450EF0" w:rsidRDefault="00F05BC8" w:rsidP="00450EF0">
      <w:pPr>
        <w:spacing w:before="120" w:after="120" w:line="240" w:lineRule="auto"/>
        <w:rPr>
          <w:rFonts w:cs="Arial"/>
        </w:rPr>
      </w:pPr>
    </w:p>
    <w:sectPr w:rsidR="00F05BC8" w:rsidRPr="00450EF0" w:rsidSect="0063625B">
      <w:footerReference w:type="default" r:id="rId10"/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F706" w14:textId="77777777" w:rsidR="006C328E" w:rsidRDefault="006C328E" w:rsidP="009D1AEB">
      <w:pPr>
        <w:spacing w:after="0" w:line="240" w:lineRule="auto"/>
      </w:pPr>
      <w:r>
        <w:separator/>
      </w:r>
    </w:p>
  </w:endnote>
  <w:endnote w:type="continuationSeparator" w:id="0">
    <w:p w14:paraId="6830096D" w14:textId="77777777" w:rsidR="006C328E" w:rsidRDefault="006C328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90BBD" w14:textId="77777777" w:rsidR="004D269E" w:rsidRDefault="004D269E" w:rsidP="004D269E">
    <w:pPr>
      <w:spacing w:after="0" w:line="240" w:lineRule="auto"/>
      <w:rPr>
        <w:rFonts w:cs="Arial"/>
        <w:color w:val="727271"/>
        <w:sz w:val="14"/>
        <w:szCs w:val="14"/>
      </w:rPr>
    </w:pPr>
  </w:p>
  <w:p w14:paraId="776427AD" w14:textId="77777777" w:rsidR="004D269E" w:rsidRPr="0025604B" w:rsidRDefault="004D269E" w:rsidP="004D269E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85305C4" w14:textId="77777777" w:rsidR="004D269E" w:rsidRPr="0025604B" w:rsidRDefault="004D269E" w:rsidP="004D269E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04111C07" w14:textId="77777777" w:rsidR="004D269E" w:rsidRPr="00205BDF" w:rsidRDefault="004D269E" w:rsidP="004D269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7004FB">
      <w:rPr>
        <w:rFonts w:cs="Arial"/>
        <w:color w:val="727271"/>
        <w:sz w:val="14"/>
        <w:szCs w:val="14"/>
      </w:rPr>
      <w:t>33 335 532 000,00 zł</w:t>
    </w:r>
  </w:p>
  <w:p w14:paraId="32D7D445" w14:textId="1CF7367B" w:rsidR="004D269E" w:rsidRDefault="004D26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C99E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D1B9349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5EE05AC" w14:textId="77777777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475C937E" w14:textId="38DDF2BE" w:rsidR="002F226E" w:rsidRPr="00205BDF" w:rsidRDefault="00860074" w:rsidP="002F226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7004FB" w:rsidRPr="007004FB">
      <w:rPr>
        <w:rFonts w:cs="Arial"/>
        <w:color w:val="727271"/>
        <w:sz w:val="14"/>
        <w:szCs w:val="14"/>
      </w:rPr>
      <w:t>33 335 532 000,00 zł</w:t>
    </w:r>
  </w:p>
  <w:p w14:paraId="459313ED" w14:textId="77777777" w:rsidR="00860074" w:rsidRPr="00860074" w:rsidRDefault="00860074" w:rsidP="00C72BE5">
    <w:pPr>
      <w:spacing w:after="0" w:line="240" w:lineRule="auto"/>
      <w:jc w:val="both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3864A" w14:textId="77777777" w:rsidR="006C328E" w:rsidRDefault="006C328E" w:rsidP="009D1AEB">
      <w:pPr>
        <w:spacing w:after="0" w:line="240" w:lineRule="auto"/>
      </w:pPr>
      <w:r>
        <w:separator/>
      </w:r>
    </w:p>
  </w:footnote>
  <w:footnote w:type="continuationSeparator" w:id="0">
    <w:p w14:paraId="35C4320F" w14:textId="77777777" w:rsidR="006C328E" w:rsidRDefault="006C328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003B" w14:textId="77777777" w:rsidR="00E11D65" w:rsidRDefault="00E11D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21128EE" wp14:editId="675BD78C">
          <wp:simplePos x="0" y="0"/>
          <wp:positionH relativeFrom="margin">
            <wp:align>center</wp:align>
          </wp:positionH>
          <wp:positionV relativeFrom="paragraph">
            <wp:posOffset>-74930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D787A" w14:textId="77777777" w:rsidR="00E11D65" w:rsidRDefault="00E11D65">
    <w:pPr>
      <w:pStyle w:val="Nagwek"/>
    </w:pPr>
  </w:p>
  <w:p w14:paraId="6F43BE21" w14:textId="77777777" w:rsidR="00E11D65" w:rsidRDefault="00E11D65">
    <w:pPr>
      <w:pStyle w:val="Nagwek"/>
    </w:pPr>
  </w:p>
  <w:p w14:paraId="14E1E1B7" w14:textId="77777777" w:rsidR="00E11D65" w:rsidRDefault="00E11D65">
    <w:pPr>
      <w:pStyle w:val="Nagwek"/>
    </w:pPr>
  </w:p>
  <w:p w14:paraId="389CE85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6912B1" wp14:editId="5EFEF24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A28AA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AE0D38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6B3E148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7A7652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BDF58D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260E0C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99B87F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7EBBAA2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912B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5A28AA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AE0D38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6B3E148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7A7652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BDF58DC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260E0C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99B87F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7EBBAA2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17072586">
    <w:abstractNumId w:val="1"/>
  </w:num>
  <w:num w:numId="2" w16cid:durableId="57019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E2EC9F4-0F67-4F29-B3CB-EE5AB070E4BB}"/>
  </w:docVars>
  <w:rsids>
    <w:rsidRoot w:val="009D1AEB"/>
    <w:rsid w:val="00005FDE"/>
    <w:rsid w:val="00031AF6"/>
    <w:rsid w:val="000333E7"/>
    <w:rsid w:val="000363E4"/>
    <w:rsid w:val="00043D98"/>
    <w:rsid w:val="00072876"/>
    <w:rsid w:val="000A210C"/>
    <w:rsid w:val="000B6717"/>
    <w:rsid w:val="000C34B5"/>
    <w:rsid w:val="000D2E12"/>
    <w:rsid w:val="000E4DD4"/>
    <w:rsid w:val="001140BA"/>
    <w:rsid w:val="001277A4"/>
    <w:rsid w:val="00127C1F"/>
    <w:rsid w:val="0015541A"/>
    <w:rsid w:val="00164B78"/>
    <w:rsid w:val="00174E70"/>
    <w:rsid w:val="00192BEF"/>
    <w:rsid w:val="001942F0"/>
    <w:rsid w:val="001A081C"/>
    <w:rsid w:val="001A3C46"/>
    <w:rsid w:val="001A3EC7"/>
    <w:rsid w:val="001B2975"/>
    <w:rsid w:val="001D2445"/>
    <w:rsid w:val="001F469E"/>
    <w:rsid w:val="0020104B"/>
    <w:rsid w:val="0022610F"/>
    <w:rsid w:val="00236985"/>
    <w:rsid w:val="00242EC0"/>
    <w:rsid w:val="00243F04"/>
    <w:rsid w:val="002509B2"/>
    <w:rsid w:val="002679F9"/>
    <w:rsid w:val="002764CC"/>
    <w:rsid w:val="00277762"/>
    <w:rsid w:val="00277D0A"/>
    <w:rsid w:val="00284741"/>
    <w:rsid w:val="00290FB2"/>
    <w:rsid w:val="00291328"/>
    <w:rsid w:val="002923A8"/>
    <w:rsid w:val="0029764B"/>
    <w:rsid w:val="002B5807"/>
    <w:rsid w:val="002D0A9D"/>
    <w:rsid w:val="002E3F5D"/>
    <w:rsid w:val="002F226E"/>
    <w:rsid w:val="002F5274"/>
    <w:rsid w:val="002F6767"/>
    <w:rsid w:val="003067EF"/>
    <w:rsid w:val="00311C80"/>
    <w:rsid w:val="00314DD2"/>
    <w:rsid w:val="00316B01"/>
    <w:rsid w:val="00325953"/>
    <w:rsid w:val="00340F14"/>
    <w:rsid w:val="003518D2"/>
    <w:rsid w:val="00353C15"/>
    <w:rsid w:val="003560B2"/>
    <w:rsid w:val="00373893"/>
    <w:rsid w:val="00373B9A"/>
    <w:rsid w:val="00381F98"/>
    <w:rsid w:val="0038355A"/>
    <w:rsid w:val="00385F8D"/>
    <w:rsid w:val="003952A9"/>
    <w:rsid w:val="003C7916"/>
    <w:rsid w:val="003D117F"/>
    <w:rsid w:val="003D783B"/>
    <w:rsid w:val="003E5942"/>
    <w:rsid w:val="003E66A0"/>
    <w:rsid w:val="003F0C77"/>
    <w:rsid w:val="003F3982"/>
    <w:rsid w:val="00400B67"/>
    <w:rsid w:val="00433AE2"/>
    <w:rsid w:val="00433C4C"/>
    <w:rsid w:val="004366A9"/>
    <w:rsid w:val="00436B8C"/>
    <w:rsid w:val="00450EF0"/>
    <w:rsid w:val="0045579E"/>
    <w:rsid w:val="00457D23"/>
    <w:rsid w:val="00461353"/>
    <w:rsid w:val="004921F6"/>
    <w:rsid w:val="00496A94"/>
    <w:rsid w:val="004A1C1C"/>
    <w:rsid w:val="004A5D84"/>
    <w:rsid w:val="004B43C6"/>
    <w:rsid w:val="004C057C"/>
    <w:rsid w:val="004D269E"/>
    <w:rsid w:val="004E3E98"/>
    <w:rsid w:val="00502BB2"/>
    <w:rsid w:val="00507EBF"/>
    <w:rsid w:val="00526290"/>
    <w:rsid w:val="00527D7A"/>
    <w:rsid w:val="00532D9A"/>
    <w:rsid w:val="0053419C"/>
    <w:rsid w:val="00553200"/>
    <w:rsid w:val="005553EC"/>
    <w:rsid w:val="00584F6B"/>
    <w:rsid w:val="00585F06"/>
    <w:rsid w:val="005A144B"/>
    <w:rsid w:val="005B6CBE"/>
    <w:rsid w:val="005D1DAD"/>
    <w:rsid w:val="005D4D14"/>
    <w:rsid w:val="005E2900"/>
    <w:rsid w:val="005E2BFB"/>
    <w:rsid w:val="005E5972"/>
    <w:rsid w:val="005F24EB"/>
    <w:rsid w:val="00607B83"/>
    <w:rsid w:val="00610F2D"/>
    <w:rsid w:val="0063625B"/>
    <w:rsid w:val="0064010F"/>
    <w:rsid w:val="00657103"/>
    <w:rsid w:val="00667921"/>
    <w:rsid w:val="006801CF"/>
    <w:rsid w:val="006832D9"/>
    <w:rsid w:val="00694797"/>
    <w:rsid w:val="006A30BA"/>
    <w:rsid w:val="006A411D"/>
    <w:rsid w:val="006A41EF"/>
    <w:rsid w:val="006B4761"/>
    <w:rsid w:val="006C183B"/>
    <w:rsid w:val="006C328E"/>
    <w:rsid w:val="006C54E6"/>
    <w:rsid w:val="006C6C1C"/>
    <w:rsid w:val="006D0F6D"/>
    <w:rsid w:val="006F2772"/>
    <w:rsid w:val="006F42FA"/>
    <w:rsid w:val="006F52B2"/>
    <w:rsid w:val="007004FB"/>
    <w:rsid w:val="00717F51"/>
    <w:rsid w:val="007566C4"/>
    <w:rsid w:val="00760A53"/>
    <w:rsid w:val="00777634"/>
    <w:rsid w:val="007B1157"/>
    <w:rsid w:val="007C233D"/>
    <w:rsid w:val="007D74B6"/>
    <w:rsid w:val="007F2CC6"/>
    <w:rsid w:val="007F3648"/>
    <w:rsid w:val="008172AC"/>
    <w:rsid w:val="008344E8"/>
    <w:rsid w:val="00835C67"/>
    <w:rsid w:val="00841CB6"/>
    <w:rsid w:val="00852C5B"/>
    <w:rsid w:val="00853014"/>
    <w:rsid w:val="008556BF"/>
    <w:rsid w:val="00860074"/>
    <w:rsid w:val="0086251E"/>
    <w:rsid w:val="0086609F"/>
    <w:rsid w:val="00884FD7"/>
    <w:rsid w:val="00897128"/>
    <w:rsid w:val="008A4C2E"/>
    <w:rsid w:val="008A5ED4"/>
    <w:rsid w:val="008A6DDA"/>
    <w:rsid w:val="008D5441"/>
    <w:rsid w:val="008D597F"/>
    <w:rsid w:val="008D5DE4"/>
    <w:rsid w:val="008D698D"/>
    <w:rsid w:val="008E130D"/>
    <w:rsid w:val="008E2FDD"/>
    <w:rsid w:val="008E7B95"/>
    <w:rsid w:val="008F2A6A"/>
    <w:rsid w:val="00910B3B"/>
    <w:rsid w:val="00913F41"/>
    <w:rsid w:val="00921C8E"/>
    <w:rsid w:val="00922F63"/>
    <w:rsid w:val="00932ED5"/>
    <w:rsid w:val="00944F98"/>
    <w:rsid w:val="0096161B"/>
    <w:rsid w:val="0096252B"/>
    <w:rsid w:val="00985777"/>
    <w:rsid w:val="009A0FE9"/>
    <w:rsid w:val="009B4CA2"/>
    <w:rsid w:val="009C2455"/>
    <w:rsid w:val="009C43BF"/>
    <w:rsid w:val="009D1AEB"/>
    <w:rsid w:val="009E256A"/>
    <w:rsid w:val="009E268D"/>
    <w:rsid w:val="009E7534"/>
    <w:rsid w:val="00A01D2E"/>
    <w:rsid w:val="00A03522"/>
    <w:rsid w:val="00A15AED"/>
    <w:rsid w:val="00A2081A"/>
    <w:rsid w:val="00A236DD"/>
    <w:rsid w:val="00A25069"/>
    <w:rsid w:val="00A33C7B"/>
    <w:rsid w:val="00A3479F"/>
    <w:rsid w:val="00A406A9"/>
    <w:rsid w:val="00A420F3"/>
    <w:rsid w:val="00A50E71"/>
    <w:rsid w:val="00A75420"/>
    <w:rsid w:val="00A8183F"/>
    <w:rsid w:val="00A82BB4"/>
    <w:rsid w:val="00A93055"/>
    <w:rsid w:val="00A960DA"/>
    <w:rsid w:val="00AD16CB"/>
    <w:rsid w:val="00AE05EE"/>
    <w:rsid w:val="00B30758"/>
    <w:rsid w:val="00B31F9C"/>
    <w:rsid w:val="00B34943"/>
    <w:rsid w:val="00B37DBE"/>
    <w:rsid w:val="00B433B0"/>
    <w:rsid w:val="00B65D9E"/>
    <w:rsid w:val="00B828BE"/>
    <w:rsid w:val="00BA147B"/>
    <w:rsid w:val="00BA7235"/>
    <w:rsid w:val="00BB14EF"/>
    <w:rsid w:val="00BB7386"/>
    <w:rsid w:val="00BC0DBF"/>
    <w:rsid w:val="00BC1E9D"/>
    <w:rsid w:val="00BF634A"/>
    <w:rsid w:val="00C221DC"/>
    <w:rsid w:val="00C223F6"/>
    <w:rsid w:val="00C33F4B"/>
    <w:rsid w:val="00C50A50"/>
    <w:rsid w:val="00C60345"/>
    <w:rsid w:val="00C63770"/>
    <w:rsid w:val="00C654C1"/>
    <w:rsid w:val="00C72BE5"/>
    <w:rsid w:val="00C9558E"/>
    <w:rsid w:val="00CA4BCB"/>
    <w:rsid w:val="00CF0E6A"/>
    <w:rsid w:val="00CF66C7"/>
    <w:rsid w:val="00D016FE"/>
    <w:rsid w:val="00D149FC"/>
    <w:rsid w:val="00D23FCC"/>
    <w:rsid w:val="00D33F12"/>
    <w:rsid w:val="00D353C4"/>
    <w:rsid w:val="00D5113B"/>
    <w:rsid w:val="00D6569B"/>
    <w:rsid w:val="00D7086B"/>
    <w:rsid w:val="00D73905"/>
    <w:rsid w:val="00D77764"/>
    <w:rsid w:val="00D825B4"/>
    <w:rsid w:val="00D9073E"/>
    <w:rsid w:val="00D9637E"/>
    <w:rsid w:val="00D96DC0"/>
    <w:rsid w:val="00DC11D2"/>
    <w:rsid w:val="00DE4124"/>
    <w:rsid w:val="00DF3AF0"/>
    <w:rsid w:val="00E00C45"/>
    <w:rsid w:val="00E033DD"/>
    <w:rsid w:val="00E11D65"/>
    <w:rsid w:val="00E56692"/>
    <w:rsid w:val="00E77F3F"/>
    <w:rsid w:val="00EC22B3"/>
    <w:rsid w:val="00EC4626"/>
    <w:rsid w:val="00EC5697"/>
    <w:rsid w:val="00EC67AE"/>
    <w:rsid w:val="00ED5B26"/>
    <w:rsid w:val="00EF05C9"/>
    <w:rsid w:val="00EF0C7E"/>
    <w:rsid w:val="00F05BC8"/>
    <w:rsid w:val="00F13CDE"/>
    <w:rsid w:val="00F22022"/>
    <w:rsid w:val="00F33D83"/>
    <w:rsid w:val="00F57311"/>
    <w:rsid w:val="00F63631"/>
    <w:rsid w:val="00F637A5"/>
    <w:rsid w:val="00F73046"/>
    <w:rsid w:val="00F805B9"/>
    <w:rsid w:val="00F824C0"/>
    <w:rsid w:val="00FA448D"/>
    <w:rsid w:val="00FB06D5"/>
    <w:rsid w:val="00FC1071"/>
    <w:rsid w:val="00FD4B0E"/>
    <w:rsid w:val="00FE425F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996E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69E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57103"/>
    <w:rPr>
      <w:i/>
      <w:iCs/>
    </w:rPr>
  </w:style>
  <w:style w:type="paragraph" w:styleId="Poprawka">
    <w:name w:val="Revision"/>
    <w:hidden/>
    <w:uiPriority w:val="99"/>
    <w:semiHidden/>
    <w:rsid w:val="005D1DAD"/>
    <w:pPr>
      <w:spacing w:after="0" w:line="240" w:lineRule="auto"/>
    </w:pPr>
    <w:rPr>
      <w:rFonts w:ascii="Arial" w:hAnsi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0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3EFD602-9FF9-41E2-80C0-E3932EA25F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2EC9F4-0F67-4F29-B3CB-EE5AB070E4B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Środki z KPO na kolej wydamy efektywnie</vt:lpstr>
    </vt:vector>
  </TitlesOfParts>
  <Company>PKP PLK S.A.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Środki z KPO na kolej wydamy efektywnie</dc:title>
  <dc:subject/>
  <dc:creator>Marta.Pabianska@plk-sa.pl</dc:creator>
  <cp:keywords/>
  <dc:description/>
  <cp:lastModifiedBy>Ostaszewska Anna</cp:lastModifiedBy>
  <cp:revision>3</cp:revision>
  <dcterms:created xsi:type="dcterms:W3CDTF">2024-08-06T09:21:00Z</dcterms:created>
  <dcterms:modified xsi:type="dcterms:W3CDTF">2024-08-06T09:42:00Z</dcterms:modified>
</cp:coreProperties>
</file>