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E6191B" w:rsidRDefault="006C1AA7" w:rsidP="00E6191B">
      <w:pPr>
        <w:jc w:val="right"/>
        <w:rPr>
          <w:rFonts w:cs="Arial"/>
        </w:rPr>
      </w:pPr>
      <w:r>
        <w:rPr>
          <w:rFonts w:cs="Arial"/>
        </w:rPr>
        <w:t>Warszawa</w:t>
      </w:r>
      <w:r w:rsidR="00E6191B">
        <w:rPr>
          <w:rFonts w:cs="Arial"/>
        </w:rPr>
        <w:t xml:space="preserve">, </w:t>
      </w:r>
      <w:r>
        <w:rPr>
          <w:rFonts w:cs="Arial"/>
        </w:rPr>
        <w:t>2</w:t>
      </w:r>
      <w:r w:rsidR="00CA402A">
        <w:rPr>
          <w:rFonts w:cs="Arial"/>
        </w:rPr>
        <w:t>7</w:t>
      </w:r>
      <w:r>
        <w:rPr>
          <w:rFonts w:cs="Arial"/>
        </w:rPr>
        <w:t xml:space="preserve"> sierpnia</w:t>
      </w:r>
      <w:r w:rsidR="00E6191B">
        <w:rPr>
          <w:rFonts w:cs="Arial"/>
        </w:rPr>
        <w:t xml:space="preserve"> 2022</w:t>
      </w:r>
      <w:r w:rsidR="00E6191B" w:rsidRPr="003D74BF">
        <w:rPr>
          <w:rFonts w:cs="Arial"/>
        </w:rPr>
        <w:t xml:space="preserve"> r.</w:t>
      </w:r>
    </w:p>
    <w:p w:rsidR="00E6191B" w:rsidRDefault="00E6191B" w:rsidP="00E6191B"/>
    <w:p w:rsidR="00E6191B" w:rsidRPr="00775D74" w:rsidRDefault="00D87BE4" w:rsidP="004D5291">
      <w:pPr>
        <w:pStyle w:val="Nagwek1"/>
        <w:spacing w:before="100" w:beforeAutospacing="1" w:after="100" w:afterAutospacing="1" w:line="360" w:lineRule="auto"/>
        <w:rPr>
          <w:rFonts w:cs="Arial"/>
          <w:szCs w:val="24"/>
        </w:rPr>
      </w:pPr>
      <w:bookmarkStart w:id="0" w:name="_GoBack"/>
      <w:r>
        <w:rPr>
          <w:rFonts w:cs="Arial"/>
          <w:szCs w:val="24"/>
        </w:rPr>
        <w:t>PLK zapewniają lepszy dostęp koleją do portów w Trójmieście</w:t>
      </w:r>
      <w:r w:rsidR="006C1AA7" w:rsidRPr="00775D74">
        <w:rPr>
          <w:rFonts w:cs="Arial"/>
          <w:szCs w:val="24"/>
        </w:rPr>
        <w:t xml:space="preserve"> [FOTOGALERIA]</w:t>
      </w:r>
    </w:p>
    <w:bookmarkEnd w:id="0"/>
    <w:p w:rsidR="00030C80" w:rsidRDefault="00030C80" w:rsidP="004D5291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Do portów morskich w Gdyni oraz Gdańsku szybciej i bezpieczniej dojeżdżają pociągi mogące przewieźć więcej ładunków. </w:t>
      </w:r>
      <w:r w:rsidR="00550C46">
        <w:rPr>
          <w:rFonts w:cs="Arial"/>
          <w:b/>
        </w:rPr>
        <w:t>Z inwestycji realizowanej przez PKP Polskie Linie Kolejowe S.A. korzysta krajowa gospodarka. Prace w Trójmieście współfinansowane są</w:t>
      </w:r>
      <w:r>
        <w:rPr>
          <w:rFonts w:cs="Arial"/>
          <w:b/>
        </w:rPr>
        <w:t xml:space="preserve"> ze środków europejskich –</w:t>
      </w:r>
      <w:r w:rsidR="00550C46">
        <w:rPr>
          <w:rFonts w:cs="Arial"/>
          <w:b/>
        </w:rPr>
        <w:t xml:space="preserve"> </w:t>
      </w:r>
      <w:r w:rsidRPr="004D5291">
        <w:rPr>
          <w:rFonts w:cs="Arial"/>
          <w:b/>
        </w:rPr>
        <w:t>instrumentu CEF „Łącząc Europę”.</w:t>
      </w:r>
    </w:p>
    <w:p w:rsidR="007D60AA" w:rsidRPr="007D60AA" w:rsidRDefault="007D60AA" w:rsidP="007D60AA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cs="Arial"/>
        </w:rPr>
        <w:t>PLK</w:t>
      </w:r>
      <w:r w:rsidR="00E6191B" w:rsidRPr="00030C80">
        <w:rPr>
          <w:rFonts w:cs="Arial"/>
        </w:rPr>
        <w:t xml:space="preserve"> konsekwentnie </w:t>
      </w:r>
      <w:r w:rsidR="00550C46">
        <w:rPr>
          <w:rFonts w:cs="Arial"/>
        </w:rPr>
        <w:t>zwiększają możliwości</w:t>
      </w:r>
      <w:r w:rsidR="00E6191B" w:rsidRPr="00030C80">
        <w:rPr>
          <w:rFonts w:cs="Arial"/>
        </w:rPr>
        <w:t xml:space="preserve"> </w:t>
      </w:r>
      <w:r w:rsidR="00550C46">
        <w:rPr>
          <w:rFonts w:cs="Arial"/>
        </w:rPr>
        <w:t xml:space="preserve">ekologicznego </w:t>
      </w:r>
      <w:r w:rsidR="00E6191B" w:rsidRPr="00030C80">
        <w:rPr>
          <w:rFonts w:cs="Arial"/>
        </w:rPr>
        <w:t>przewozu towarów</w:t>
      </w:r>
      <w:r w:rsidR="00550C46">
        <w:rPr>
          <w:rFonts w:cs="Arial"/>
        </w:rPr>
        <w:t xml:space="preserve"> koleją</w:t>
      </w:r>
      <w:r w:rsidR="00E6191B" w:rsidRPr="00030C80">
        <w:rPr>
          <w:rFonts w:cs="Arial"/>
        </w:rPr>
        <w:t xml:space="preserve"> do nadbałtyckich portów. </w:t>
      </w:r>
      <w:r>
        <w:rPr>
          <w:rFonts w:cs="Arial"/>
        </w:rPr>
        <w:t xml:space="preserve">Projekt pn. </w:t>
      </w:r>
      <w:r w:rsidRPr="004D5291">
        <w:rPr>
          <w:rFonts w:eastAsia="Calibri" w:cs="Arial"/>
        </w:rPr>
        <w:t>„Poprawa infrastruktury kole</w:t>
      </w:r>
      <w:r>
        <w:rPr>
          <w:rFonts w:eastAsia="Calibri" w:cs="Arial"/>
        </w:rPr>
        <w:t xml:space="preserve">jowego dostępu do portu Gdańsk” </w:t>
      </w:r>
      <w:r w:rsidR="00550C46">
        <w:rPr>
          <w:rFonts w:eastAsia="Calibri" w:cs="Arial"/>
        </w:rPr>
        <w:t>jest</w:t>
      </w:r>
      <w:r>
        <w:rPr>
          <w:rFonts w:eastAsia="Calibri" w:cs="Arial"/>
        </w:rPr>
        <w:t xml:space="preserve"> w fazie odbioru końcowego. </w:t>
      </w:r>
      <w:r w:rsidRPr="004D5291">
        <w:rPr>
          <w:rFonts w:eastAsia="Calibri" w:cs="Arial"/>
        </w:rPr>
        <w:t xml:space="preserve">Pociągi jeżdżą po zmodernizowanych torach z nową siecią trakcyjną </w:t>
      </w:r>
      <w:r w:rsidR="00472C6E">
        <w:rPr>
          <w:rFonts w:eastAsia="Calibri" w:cs="Arial"/>
        </w:rPr>
        <w:t xml:space="preserve">m. in. </w:t>
      </w:r>
      <w:r w:rsidRPr="004D5291">
        <w:rPr>
          <w:rFonts w:eastAsia="Calibri" w:cs="Arial"/>
        </w:rPr>
        <w:t>w obrębie stacji</w:t>
      </w:r>
      <w:r w:rsidR="00472C6E">
        <w:rPr>
          <w:rFonts w:eastAsia="Calibri" w:cs="Arial"/>
        </w:rPr>
        <w:t xml:space="preserve"> Gdańsk Zaspa Towarowa i Gdańsk Port Północny. </w:t>
      </w:r>
      <w:r w:rsidR="00550C46">
        <w:rPr>
          <w:rFonts w:eastAsia="Calibri" w:cs="Arial"/>
        </w:rPr>
        <w:t>Z</w:t>
      </w:r>
      <w:r w:rsidR="005300E8">
        <w:rPr>
          <w:rFonts w:eastAsia="Calibri" w:cs="Arial"/>
        </w:rPr>
        <w:t>abudowano</w:t>
      </w:r>
      <w:r w:rsidRPr="004D5291">
        <w:rPr>
          <w:rFonts w:eastAsia="Calibri" w:cs="Arial"/>
        </w:rPr>
        <w:t xml:space="preserve"> 72 km nowych torów i 233 rozjazdy.</w:t>
      </w:r>
      <w:r>
        <w:rPr>
          <w:rFonts w:eastAsia="Calibri" w:cs="Arial"/>
        </w:rPr>
        <w:t xml:space="preserve"> </w:t>
      </w:r>
      <w:r w:rsidRPr="004D5291">
        <w:rPr>
          <w:rFonts w:eastAsia="Calibri" w:cs="Arial"/>
        </w:rPr>
        <w:t xml:space="preserve">Od grudnia 2021 r. </w:t>
      </w:r>
      <w:r w:rsidRPr="004D5291">
        <w:rPr>
          <w:rFonts w:cs="Arial"/>
          <w:shd w:val="clear" w:color="auto" w:fill="FFFFFF"/>
        </w:rPr>
        <w:t xml:space="preserve">kierowcy korzystają z nowego wiaduktu </w:t>
      </w:r>
      <w:r>
        <w:rPr>
          <w:rFonts w:cs="Arial"/>
          <w:shd w:val="clear" w:color="auto" w:fill="FFFFFF"/>
        </w:rPr>
        <w:t>drogowego w ciągu ul. Ku Ujściu</w:t>
      </w:r>
      <w:r w:rsidRPr="004D5291">
        <w:rPr>
          <w:rFonts w:cs="Arial"/>
          <w:shd w:val="clear" w:color="auto" w:fill="FFFFFF"/>
        </w:rPr>
        <w:t xml:space="preserve">, </w:t>
      </w:r>
      <w:r>
        <w:rPr>
          <w:rFonts w:cs="Arial"/>
          <w:shd w:val="clear" w:color="auto" w:fill="FFFFFF"/>
        </w:rPr>
        <w:t xml:space="preserve">który </w:t>
      </w:r>
      <w:r w:rsidRPr="004D5291">
        <w:rPr>
          <w:rFonts w:cs="Arial"/>
          <w:shd w:val="clear" w:color="auto" w:fill="FFFFFF"/>
        </w:rPr>
        <w:t xml:space="preserve">poprawił bezpieczeństwo w ruchu drogowym i kolejowym oraz usprawnił komunikację w tej części miasta. </w:t>
      </w:r>
    </w:p>
    <w:p w:rsidR="00472C6E" w:rsidRDefault="00550C46" w:rsidP="004D5291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W</w:t>
      </w:r>
      <w:r w:rsidR="007D60AA" w:rsidRPr="004D5291">
        <w:rPr>
          <w:rFonts w:cs="Arial"/>
        </w:rPr>
        <w:t xml:space="preserve"> ramach projektu pn. „Poprawa dostępu kolejowego do portu morskiego w Gdyni”</w:t>
      </w:r>
      <w:r w:rsidR="007D60AA">
        <w:rPr>
          <w:rFonts w:cs="Arial"/>
        </w:rPr>
        <w:t xml:space="preserve">. Zabudowano już blisko </w:t>
      </w:r>
      <w:r w:rsidR="00D331DF">
        <w:rPr>
          <w:rFonts w:cs="Arial"/>
        </w:rPr>
        <w:t>8</w:t>
      </w:r>
      <w:r w:rsidR="007D60AA">
        <w:rPr>
          <w:rFonts w:cs="Arial"/>
        </w:rPr>
        <w:t xml:space="preserve">0 km torów oraz </w:t>
      </w:r>
      <w:r w:rsidR="00D331DF">
        <w:rPr>
          <w:rFonts w:cs="Arial"/>
        </w:rPr>
        <w:t>ponad</w:t>
      </w:r>
      <w:r w:rsidR="007D60AA">
        <w:rPr>
          <w:rFonts w:cs="Arial"/>
        </w:rPr>
        <w:t xml:space="preserve"> 200 rozjazdów.</w:t>
      </w:r>
      <w:r w:rsidR="007D60AA" w:rsidRPr="007D60AA">
        <w:rPr>
          <w:rFonts w:cs="Arial"/>
        </w:rPr>
        <w:t xml:space="preserve"> </w:t>
      </w:r>
      <w:r>
        <w:rPr>
          <w:rFonts w:cs="Arial"/>
        </w:rPr>
        <w:t>Powstają</w:t>
      </w:r>
      <w:r w:rsidR="007D60AA" w:rsidRPr="004D5291">
        <w:rPr>
          <w:rFonts w:cs="Arial"/>
        </w:rPr>
        <w:t xml:space="preserve"> dwa nowe wiadukty kolejowe, które usprawnią przejazd do portu.</w:t>
      </w:r>
      <w:r w:rsidR="00CC324B" w:rsidRPr="00CC324B">
        <w:rPr>
          <w:rFonts w:cs="Arial"/>
        </w:rPr>
        <w:t xml:space="preserve"> </w:t>
      </w:r>
      <w:r w:rsidR="00CC324B">
        <w:rPr>
          <w:rFonts w:cs="Arial"/>
        </w:rPr>
        <w:t>Gotowa jest publiczna ładownia oraz</w:t>
      </w:r>
      <w:r w:rsidR="00CC324B" w:rsidRPr="004D5291">
        <w:rPr>
          <w:rFonts w:cs="Arial"/>
        </w:rPr>
        <w:t xml:space="preserve"> 11 podziemnych zbiorników retencyjnych, kolejne dwa są w budowie. </w:t>
      </w:r>
      <w:r w:rsidR="00CC324B">
        <w:rPr>
          <w:rFonts w:cs="Arial"/>
        </w:rPr>
        <w:t>Z oddanego do użytku w marcu br.</w:t>
      </w:r>
      <w:r w:rsidR="00472C6E">
        <w:rPr>
          <w:rFonts w:cs="Arial"/>
        </w:rPr>
        <w:t xml:space="preserve"> Lokalnego Centrum Sterowania</w:t>
      </w:r>
      <w:r w:rsidR="00472C6E" w:rsidRPr="00472C6E">
        <w:rPr>
          <w:rFonts w:cs="Arial"/>
        </w:rPr>
        <w:t xml:space="preserve"> </w:t>
      </w:r>
      <w:r w:rsidR="00472C6E">
        <w:rPr>
          <w:rFonts w:cs="Arial"/>
        </w:rPr>
        <w:t>Gdynia Port prowadzony jest ruch pociągów do nabrzeży.</w:t>
      </w:r>
      <w:r w:rsidR="00472C6E" w:rsidRPr="00472C6E">
        <w:rPr>
          <w:rFonts w:cs="Arial"/>
        </w:rPr>
        <w:t xml:space="preserve"> </w:t>
      </w:r>
      <w:r w:rsidR="00472C6E">
        <w:rPr>
          <w:rFonts w:cs="Arial"/>
        </w:rPr>
        <w:t>Prace dyżurnych ruchu wspierają nowoczesne urządzenia i systemy komputerowe. W ciągu doby kolejarze zapewniają sprawne i bezpieczne przejazdy około 50 pociągów z ładunkami oraz podczas około 230 jazd manewrowych.</w:t>
      </w:r>
    </w:p>
    <w:p w:rsidR="00CC324B" w:rsidRPr="004D5291" w:rsidRDefault="00CC324B" w:rsidP="004D5291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Inwestycje PLK do trójmiejskich portów mają wartość ponad 2,6 mld zł netto. </w:t>
      </w:r>
      <w:r w:rsidRPr="004D5291">
        <w:rPr>
          <w:rFonts w:cs="Arial"/>
          <w:shd w:val="clear" w:color="auto" w:fill="FFFFFF"/>
        </w:rPr>
        <w:t xml:space="preserve">Prawie 40 proc. tej kwoty stanowi dofinansowanie unijne ze środków instrumentu </w:t>
      </w:r>
      <w:proofErr w:type="spellStart"/>
      <w:r w:rsidRPr="004D5291">
        <w:rPr>
          <w:rFonts w:cs="Arial"/>
          <w:shd w:val="clear" w:color="auto" w:fill="FFFFFF"/>
        </w:rPr>
        <w:t>Connecting</w:t>
      </w:r>
      <w:proofErr w:type="spellEnd"/>
      <w:r w:rsidRPr="004D5291">
        <w:rPr>
          <w:rFonts w:cs="Arial"/>
          <w:shd w:val="clear" w:color="auto" w:fill="FFFFFF"/>
        </w:rPr>
        <w:t xml:space="preserve"> Europe </w:t>
      </w:r>
      <w:proofErr w:type="spellStart"/>
      <w:r w:rsidRPr="004D5291">
        <w:rPr>
          <w:rFonts w:cs="Arial"/>
          <w:shd w:val="clear" w:color="auto" w:fill="FFFFFF"/>
        </w:rPr>
        <w:t>Facility</w:t>
      </w:r>
      <w:proofErr w:type="spellEnd"/>
      <w:r w:rsidRPr="004D5291">
        <w:rPr>
          <w:rFonts w:cs="Arial"/>
          <w:shd w:val="clear" w:color="auto" w:fill="FFFFFF"/>
        </w:rPr>
        <w:t xml:space="preserve"> (CEF) – „Łącząc Europę”.</w:t>
      </w:r>
      <w:r>
        <w:rPr>
          <w:rFonts w:cs="Arial"/>
          <w:shd w:val="clear" w:color="auto" w:fill="FFFFFF"/>
        </w:rPr>
        <w:t xml:space="preserve"> Dzięki realizacji projektów do nabrzeży dojeżdżają cięższe i dłuższe, nawet 750-metrowe pociągi, które mogą zabrać więcej towarów. Jazda składów jest</w:t>
      </w:r>
      <w:r w:rsidR="00550C46">
        <w:rPr>
          <w:rFonts w:cs="Arial"/>
          <w:shd w:val="clear" w:color="auto" w:fill="FFFFFF"/>
        </w:rPr>
        <w:t xml:space="preserve"> bardziej ekologiczna,</w:t>
      </w:r>
      <w:r>
        <w:rPr>
          <w:rFonts w:cs="Arial"/>
          <w:shd w:val="clear" w:color="auto" w:fill="FFFFFF"/>
        </w:rPr>
        <w:t xml:space="preserve"> sprawniejsza i bezpieczniejsza.</w:t>
      </w:r>
    </w:p>
    <w:p w:rsidR="00775D74" w:rsidRPr="00775D74" w:rsidRDefault="00775D74" w:rsidP="00775D74">
      <w:pPr>
        <w:spacing w:after="0" w:line="360" w:lineRule="auto"/>
        <w:rPr>
          <w:rFonts w:cs="Arial"/>
          <w:b/>
          <w:bCs/>
        </w:rPr>
      </w:pPr>
      <w:r w:rsidRPr="00775D74">
        <w:rPr>
          <w:rFonts w:cs="Arial"/>
          <w:b/>
          <w:bCs/>
        </w:rPr>
        <w:t>Kontakt dla mediów:</w:t>
      </w:r>
    </w:p>
    <w:p w:rsidR="00775D74" w:rsidRPr="00775D74" w:rsidRDefault="00775D74" w:rsidP="00775D74">
      <w:pPr>
        <w:spacing w:after="0" w:line="360" w:lineRule="auto"/>
      </w:pPr>
      <w:r w:rsidRPr="00775D74">
        <w:lastRenderedPageBreak/>
        <w:t>Przemysław Zieliński                                                                                                                              zespół prasowy</w:t>
      </w:r>
      <w:r w:rsidRPr="00775D74">
        <w:rPr>
          <w:rFonts w:cs="Arial"/>
          <w:b/>
          <w:bCs/>
        </w:rPr>
        <w:t xml:space="preserve">                                                                                                                              </w:t>
      </w:r>
      <w:r w:rsidRPr="00775D74">
        <w:rPr>
          <w:rFonts w:cs="Arial"/>
          <w:bCs/>
        </w:rPr>
        <w:t>PKP Polskie Linie Kolejowe S.A.</w:t>
      </w:r>
      <w:r w:rsidRPr="00775D74">
        <w:br/>
      </w:r>
      <w:r w:rsidRPr="00775D74">
        <w:rPr>
          <w:color w:val="0071BC"/>
          <w:u w:val="single"/>
          <w:shd w:val="clear" w:color="auto" w:fill="FFFFFF"/>
        </w:rPr>
        <w:t>rzecznik@plk-sa.pl</w:t>
      </w:r>
      <w:r w:rsidRPr="00775D74">
        <w:br/>
        <w:t>T: +48 506 564 659</w:t>
      </w:r>
    </w:p>
    <w:p w:rsidR="00E6191B" w:rsidRDefault="00E6191B" w:rsidP="00E6191B"/>
    <w:p w:rsidR="00E6191B" w:rsidRPr="00313FD8" w:rsidRDefault="00E6191B" w:rsidP="00E6191B">
      <w:pPr>
        <w:spacing w:after="0" w:line="360" w:lineRule="auto"/>
        <w:rPr>
          <w:rFonts w:cs="Arial"/>
        </w:rPr>
      </w:pPr>
      <w:r w:rsidRPr="00313FD8">
        <w:rPr>
          <w:rFonts w:cs="Arial"/>
        </w:rPr>
        <w:t>Projekt jest współfinansowany przez Unię Europejską z Instrumentu „Łącząc Europę”.</w:t>
      </w:r>
    </w:p>
    <w:p w:rsidR="00E6191B" w:rsidRPr="00313FD8" w:rsidRDefault="00E6191B" w:rsidP="00E6191B">
      <w:pPr>
        <w:spacing w:after="0" w:line="360" w:lineRule="auto"/>
      </w:pPr>
      <w:r w:rsidRPr="00313FD8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p w:rsidR="00E6191B" w:rsidRPr="00F92C68" w:rsidRDefault="00E6191B" w:rsidP="00E6191B">
      <w:pPr>
        <w:spacing w:line="360" w:lineRule="auto"/>
        <w:rPr>
          <w:rFonts w:cs="Arial"/>
        </w:rPr>
      </w:pPr>
    </w:p>
    <w:p w:rsidR="00C22107" w:rsidRDefault="00C22107" w:rsidP="00534832">
      <w:pPr>
        <w:spacing w:line="360" w:lineRule="auto"/>
      </w:pPr>
    </w:p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F7A" w:rsidRDefault="00EA2F7A" w:rsidP="009D1AEB">
      <w:pPr>
        <w:spacing w:after="0" w:line="240" w:lineRule="auto"/>
      </w:pPr>
      <w:r>
        <w:separator/>
      </w:r>
    </w:p>
  </w:endnote>
  <w:endnote w:type="continuationSeparator" w:id="0">
    <w:p w:rsidR="00EA2F7A" w:rsidRDefault="00EA2F7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6B0127" w:rsidRPr="006B0127" w:rsidRDefault="006B0127" w:rsidP="006B0127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6B0127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6B0127" w:rsidRPr="006B0127" w:rsidRDefault="006B0127" w:rsidP="006B0127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6B0127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860074" w:rsidRPr="006B0127" w:rsidRDefault="006B0127" w:rsidP="006B0127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6B0127">
      <w:rPr>
        <w:rFonts w:cs="Arial"/>
        <w:color w:val="727271"/>
        <w:sz w:val="14"/>
        <w:szCs w:val="14"/>
      </w:rPr>
      <w:t>REGON 017319027. Wysokość kapitału zakładowego w całości wpłaconego: 30.918.953.000,00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F7A" w:rsidRDefault="00EA2F7A" w:rsidP="009D1AEB">
      <w:pPr>
        <w:spacing w:after="0" w:line="240" w:lineRule="auto"/>
      </w:pPr>
      <w:r>
        <w:separator/>
      </w:r>
    </w:p>
  </w:footnote>
  <w:footnote w:type="continuationSeparator" w:id="0">
    <w:p w:rsidR="00EA2F7A" w:rsidRDefault="00EA2F7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CF3E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A085064" wp14:editId="5C00F28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651BF5" wp14:editId="60EE4398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51B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A40E7">
      <w:rPr>
        <w:noProof/>
        <w:lang w:eastAsia="pl-PL"/>
      </w:rPr>
      <w:drawing>
        <wp:inline distT="0" distB="0" distL="0" distR="0" wp14:anchorId="2FA403E6" wp14:editId="423654B0">
          <wp:extent cx="6120130" cy="461645"/>
          <wp:effectExtent l="0" t="0" r="0" b="0"/>
          <wp:docPr id="1" name="Obraz 1" descr="Logoty: PKP Polskich Linii Kolejowych S.A., flaga Rzeczpospolita Polska, logotyp: flaga Unii Europejskiej, Współ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: PKP Polskich Linii Kolejowych S.A., flaga Rzeczpospolita Polska, logotyp: flaga Unii Europejskiej, Współ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5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6202"/>
    <w:rsid w:val="00011E72"/>
    <w:rsid w:val="00030C80"/>
    <w:rsid w:val="00040F89"/>
    <w:rsid w:val="00050D35"/>
    <w:rsid w:val="00064CAA"/>
    <w:rsid w:val="00083B68"/>
    <w:rsid w:val="00090FC1"/>
    <w:rsid w:val="000912A7"/>
    <w:rsid w:val="000A2B98"/>
    <w:rsid w:val="000A55EC"/>
    <w:rsid w:val="000D3DDB"/>
    <w:rsid w:val="000E4482"/>
    <w:rsid w:val="00106317"/>
    <w:rsid w:val="00121ED2"/>
    <w:rsid w:val="001305C7"/>
    <w:rsid w:val="001305DA"/>
    <w:rsid w:val="00131509"/>
    <w:rsid w:val="0013182B"/>
    <w:rsid w:val="00135825"/>
    <w:rsid w:val="00144BA2"/>
    <w:rsid w:val="00152745"/>
    <w:rsid w:val="00152FA0"/>
    <w:rsid w:val="00154367"/>
    <w:rsid w:val="0016440F"/>
    <w:rsid w:val="00167521"/>
    <w:rsid w:val="00170A4F"/>
    <w:rsid w:val="00183A22"/>
    <w:rsid w:val="001A40E7"/>
    <w:rsid w:val="001B1170"/>
    <w:rsid w:val="001C408D"/>
    <w:rsid w:val="001C65A1"/>
    <w:rsid w:val="001D644B"/>
    <w:rsid w:val="001D6B6F"/>
    <w:rsid w:val="001D7CB1"/>
    <w:rsid w:val="001F0A03"/>
    <w:rsid w:val="00200976"/>
    <w:rsid w:val="00204BB4"/>
    <w:rsid w:val="00204DA4"/>
    <w:rsid w:val="00217F0B"/>
    <w:rsid w:val="0022706D"/>
    <w:rsid w:val="002272E6"/>
    <w:rsid w:val="00236985"/>
    <w:rsid w:val="0024361D"/>
    <w:rsid w:val="002463FA"/>
    <w:rsid w:val="00253808"/>
    <w:rsid w:val="00262385"/>
    <w:rsid w:val="00277762"/>
    <w:rsid w:val="00281DF8"/>
    <w:rsid w:val="00291328"/>
    <w:rsid w:val="002947B2"/>
    <w:rsid w:val="002B26E3"/>
    <w:rsid w:val="002C65C4"/>
    <w:rsid w:val="002D2535"/>
    <w:rsid w:val="002F1479"/>
    <w:rsid w:val="002F6767"/>
    <w:rsid w:val="00311139"/>
    <w:rsid w:val="00311945"/>
    <w:rsid w:val="003160B1"/>
    <w:rsid w:val="003215D4"/>
    <w:rsid w:val="003546D4"/>
    <w:rsid w:val="0035752A"/>
    <w:rsid w:val="003609C0"/>
    <w:rsid w:val="00395351"/>
    <w:rsid w:val="003A5851"/>
    <w:rsid w:val="003B007B"/>
    <w:rsid w:val="003B3668"/>
    <w:rsid w:val="003E128D"/>
    <w:rsid w:val="003E4EB3"/>
    <w:rsid w:val="003E60D7"/>
    <w:rsid w:val="004117D5"/>
    <w:rsid w:val="004379EA"/>
    <w:rsid w:val="00455C9B"/>
    <w:rsid w:val="00472C6E"/>
    <w:rsid w:val="004735C1"/>
    <w:rsid w:val="00486A35"/>
    <w:rsid w:val="004B17B1"/>
    <w:rsid w:val="004D5291"/>
    <w:rsid w:val="004F11FF"/>
    <w:rsid w:val="0051157D"/>
    <w:rsid w:val="00515A8C"/>
    <w:rsid w:val="005300E8"/>
    <w:rsid w:val="00534832"/>
    <w:rsid w:val="00550C46"/>
    <w:rsid w:val="00552634"/>
    <w:rsid w:val="00563AE4"/>
    <w:rsid w:val="005678FA"/>
    <w:rsid w:val="00576E7C"/>
    <w:rsid w:val="005A7335"/>
    <w:rsid w:val="005C5FAF"/>
    <w:rsid w:val="005D06AB"/>
    <w:rsid w:val="005D7FB8"/>
    <w:rsid w:val="005F53EF"/>
    <w:rsid w:val="00635A34"/>
    <w:rsid w:val="006361CB"/>
    <w:rsid w:val="0063625B"/>
    <w:rsid w:val="00643FB9"/>
    <w:rsid w:val="006474EC"/>
    <w:rsid w:val="00682448"/>
    <w:rsid w:val="0068763B"/>
    <w:rsid w:val="0069089D"/>
    <w:rsid w:val="006B0127"/>
    <w:rsid w:val="006B4398"/>
    <w:rsid w:val="006B45B3"/>
    <w:rsid w:val="006C1AA7"/>
    <w:rsid w:val="006C4B33"/>
    <w:rsid w:val="006C6C1C"/>
    <w:rsid w:val="006D4CB3"/>
    <w:rsid w:val="006E75DA"/>
    <w:rsid w:val="0070040A"/>
    <w:rsid w:val="0070620A"/>
    <w:rsid w:val="00714462"/>
    <w:rsid w:val="00714C3C"/>
    <w:rsid w:val="00730C43"/>
    <w:rsid w:val="00745206"/>
    <w:rsid w:val="00751C29"/>
    <w:rsid w:val="00754586"/>
    <w:rsid w:val="007614F1"/>
    <w:rsid w:val="0076198D"/>
    <w:rsid w:val="00775D74"/>
    <w:rsid w:val="00787AFC"/>
    <w:rsid w:val="007931F1"/>
    <w:rsid w:val="00793355"/>
    <w:rsid w:val="007A25CC"/>
    <w:rsid w:val="007A3C2A"/>
    <w:rsid w:val="007B3371"/>
    <w:rsid w:val="007B7FE3"/>
    <w:rsid w:val="007D0333"/>
    <w:rsid w:val="007D2A5E"/>
    <w:rsid w:val="007D60AA"/>
    <w:rsid w:val="007F3648"/>
    <w:rsid w:val="008144D1"/>
    <w:rsid w:val="0081528E"/>
    <w:rsid w:val="00816DB5"/>
    <w:rsid w:val="00817241"/>
    <w:rsid w:val="00844B09"/>
    <w:rsid w:val="008533DA"/>
    <w:rsid w:val="008571A1"/>
    <w:rsid w:val="00860074"/>
    <w:rsid w:val="00872CB8"/>
    <w:rsid w:val="00887553"/>
    <w:rsid w:val="00894632"/>
    <w:rsid w:val="00897C19"/>
    <w:rsid w:val="008A5F0F"/>
    <w:rsid w:val="008B33FA"/>
    <w:rsid w:val="008C3510"/>
    <w:rsid w:val="008D44D7"/>
    <w:rsid w:val="008E039B"/>
    <w:rsid w:val="00902CB2"/>
    <w:rsid w:val="00907FD6"/>
    <w:rsid w:val="00910E1A"/>
    <w:rsid w:val="009176F3"/>
    <w:rsid w:val="00920D7E"/>
    <w:rsid w:val="0094053B"/>
    <w:rsid w:val="009514FB"/>
    <w:rsid w:val="009577E9"/>
    <w:rsid w:val="00963889"/>
    <w:rsid w:val="00966320"/>
    <w:rsid w:val="00970BE9"/>
    <w:rsid w:val="00982A69"/>
    <w:rsid w:val="009A256A"/>
    <w:rsid w:val="009C1F62"/>
    <w:rsid w:val="009C4277"/>
    <w:rsid w:val="009D1AEB"/>
    <w:rsid w:val="00A120DB"/>
    <w:rsid w:val="00A15AED"/>
    <w:rsid w:val="00A26E30"/>
    <w:rsid w:val="00A44040"/>
    <w:rsid w:val="00A676D8"/>
    <w:rsid w:val="00A92CE8"/>
    <w:rsid w:val="00A975B5"/>
    <w:rsid w:val="00AA5E6B"/>
    <w:rsid w:val="00AD4A07"/>
    <w:rsid w:val="00AE3FFB"/>
    <w:rsid w:val="00AF1064"/>
    <w:rsid w:val="00AF6C52"/>
    <w:rsid w:val="00B01806"/>
    <w:rsid w:val="00B01C9C"/>
    <w:rsid w:val="00B44F14"/>
    <w:rsid w:val="00B6310A"/>
    <w:rsid w:val="00B6556D"/>
    <w:rsid w:val="00B705BF"/>
    <w:rsid w:val="00B82ECA"/>
    <w:rsid w:val="00B966FE"/>
    <w:rsid w:val="00BB38FA"/>
    <w:rsid w:val="00BB730C"/>
    <w:rsid w:val="00BC79AF"/>
    <w:rsid w:val="00BE6FC5"/>
    <w:rsid w:val="00C01C95"/>
    <w:rsid w:val="00C06A9C"/>
    <w:rsid w:val="00C14EDA"/>
    <w:rsid w:val="00C22107"/>
    <w:rsid w:val="00C66E46"/>
    <w:rsid w:val="00C81935"/>
    <w:rsid w:val="00C85E7A"/>
    <w:rsid w:val="00C90AB0"/>
    <w:rsid w:val="00CA402A"/>
    <w:rsid w:val="00CA7A92"/>
    <w:rsid w:val="00CC324B"/>
    <w:rsid w:val="00CD29DF"/>
    <w:rsid w:val="00CE487F"/>
    <w:rsid w:val="00CF1498"/>
    <w:rsid w:val="00CF3E31"/>
    <w:rsid w:val="00CF3E69"/>
    <w:rsid w:val="00CF5620"/>
    <w:rsid w:val="00CF75F5"/>
    <w:rsid w:val="00D0507A"/>
    <w:rsid w:val="00D149FC"/>
    <w:rsid w:val="00D220D0"/>
    <w:rsid w:val="00D22732"/>
    <w:rsid w:val="00D24675"/>
    <w:rsid w:val="00D331DF"/>
    <w:rsid w:val="00D357C1"/>
    <w:rsid w:val="00D56E44"/>
    <w:rsid w:val="00D602ED"/>
    <w:rsid w:val="00D65317"/>
    <w:rsid w:val="00D76C75"/>
    <w:rsid w:val="00D829B0"/>
    <w:rsid w:val="00D85DC6"/>
    <w:rsid w:val="00D87003"/>
    <w:rsid w:val="00D87BE4"/>
    <w:rsid w:val="00DA3D6B"/>
    <w:rsid w:val="00DB08B7"/>
    <w:rsid w:val="00DB3F95"/>
    <w:rsid w:val="00DC146C"/>
    <w:rsid w:val="00DE17B8"/>
    <w:rsid w:val="00DE6653"/>
    <w:rsid w:val="00DF45C5"/>
    <w:rsid w:val="00DF5D36"/>
    <w:rsid w:val="00E00A7F"/>
    <w:rsid w:val="00E129D3"/>
    <w:rsid w:val="00E31727"/>
    <w:rsid w:val="00E32E39"/>
    <w:rsid w:val="00E33254"/>
    <w:rsid w:val="00E43078"/>
    <w:rsid w:val="00E60C2D"/>
    <w:rsid w:val="00E6191B"/>
    <w:rsid w:val="00E73D71"/>
    <w:rsid w:val="00E927F3"/>
    <w:rsid w:val="00E92D16"/>
    <w:rsid w:val="00EA2F7A"/>
    <w:rsid w:val="00EC755D"/>
    <w:rsid w:val="00ED535D"/>
    <w:rsid w:val="00EE039E"/>
    <w:rsid w:val="00EE088A"/>
    <w:rsid w:val="00F01F1C"/>
    <w:rsid w:val="00F04CED"/>
    <w:rsid w:val="00F12AF5"/>
    <w:rsid w:val="00F27DFE"/>
    <w:rsid w:val="00F31ADF"/>
    <w:rsid w:val="00F44131"/>
    <w:rsid w:val="00F55632"/>
    <w:rsid w:val="00F70DC8"/>
    <w:rsid w:val="00F842CA"/>
    <w:rsid w:val="00F974A5"/>
    <w:rsid w:val="00FA3EE0"/>
    <w:rsid w:val="00FB23B9"/>
    <w:rsid w:val="00FC7BDC"/>
    <w:rsid w:val="00FE003D"/>
    <w:rsid w:val="00FE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6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6F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6F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735C1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CF56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5E166-0041-4BDB-B5C7-05B9DBE4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Dla sprawnego przewozu towarów – efekty inwestycji PLK do bram trójmiejskich portów [FOTOGALERIA]</vt:lpstr>
    </vt:vector>
  </TitlesOfParts>
  <Company>PKP PLK S.A.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zapewniają lepszy dostęp koleją do portów w Trójmieście [FOTOGALERIA]</dc:title>
  <dc:subject/>
  <dc:creator>PKP Polskie Linie Kolejowe S.A.</dc:creator>
  <cp:keywords/>
  <dc:description/>
  <cp:lastModifiedBy>Zieliński Przemysław</cp:lastModifiedBy>
  <cp:revision>20</cp:revision>
  <cp:lastPrinted>2022-03-23T08:42:00Z</cp:lastPrinted>
  <dcterms:created xsi:type="dcterms:W3CDTF">2022-04-08T12:17:00Z</dcterms:created>
  <dcterms:modified xsi:type="dcterms:W3CDTF">2022-08-25T12:26:00Z</dcterms:modified>
</cp:coreProperties>
</file>