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173A8B">
        <w:rPr>
          <w:rFonts w:cs="Arial"/>
        </w:rPr>
        <w:t>15</w:t>
      </w:r>
      <w:r w:rsidR="00A35828">
        <w:rPr>
          <w:rFonts w:cs="Arial"/>
        </w:rPr>
        <w:t xml:space="preserve"> lutego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:rsidR="005943F9" w:rsidRPr="00B648AA" w:rsidRDefault="00A35828" w:rsidP="00B648AA">
      <w:pPr>
        <w:pStyle w:val="Nagwek1"/>
      </w:pPr>
      <w:r>
        <w:t>Kolej w woj. kujawsko-pomorskim zmienia się dla podróżnych</w:t>
      </w:r>
    </w:p>
    <w:p w:rsidR="00A35828" w:rsidRDefault="00A35828" w:rsidP="0085150F">
      <w:pPr>
        <w:spacing w:line="360" w:lineRule="auto"/>
        <w:rPr>
          <w:b/>
        </w:rPr>
      </w:pPr>
      <w:r>
        <w:rPr>
          <w:b/>
        </w:rPr>
        <w:t xml:space="preserve">Zmodernizowane stacje i przystanki z wygodnym dostępem do peronów dla wszystkich pasażerów zachęcają do codziennych podróży </w:t>
      </w:r>
      <w:r w:rsidR="00BC1218">
        <w:rPr>
          <w:b/>
        </w:rPr>
        <w:t>pociągami</w:t>
      </w:r>
      <w:r>
        <w:rPr>
          <w:b/>
        </w:rPr>
        <w:t xml:space="preserve"> w woj. kujawsko-pomorskim. </w:t>
      </w:r>
      <w:r w:rsidR="00BC1218">
        <w:rPr>
          <w:b/>
        </w:rPr>
        <w:t xml:space="preserve">Lepszy dostęp do kolei dzięki inwestycjom PKP Polskich Linii Kolejowych S.A. jest m.in. na trasie z Torunia do Chełmży oraz z Inowrocławia do Jabłonowa Pomorskiego. </w:t>
      </w:r>
      <w:r w:rsidR="001A0115" w:rsidRPr="0085150F">
        <w:rPr>
          <w:b/>
        </w:rPr>
        <w:t xml:space="preserve"> </w:t>
      </w:r>
    </w:p>
    <w:p w:rsidR="003A5B34" w:rsidRDefault="003A5B34" w:rsidP="0085150F">
      <w:pPr>
        <w:spacing w:line="360" w:lineRule="auto"/>
        <w:rPr>
          <w:rFonts w:eastAsia="Times New Roman" w:cs="Arial"/>
          <w:lang w:eastAsia="pl-PL"/>
        </w:rPr>
      </w:pPr>
      <w:r w:rsidRPr="008E4467">
        <w:rPr>
          <w:rFonts w:eastAsia="Times New Roman" w:cs="Arial"/>
          <w:lang w:eastAsia="pl-PL"/>
        </w:rPr>
        <w:t xml:space="preserve">Kolej </w:t>
      </w:r>
      <w:r>
        <w:rPr>
          <w:rFonts w:eastAsia="Times New Roman" w:cs="Arial"/>
          <w:lang w:eastAsia="pl-PL"/>
        </w:rPr>
        <w:t xml:space="preserve">w regionie </w:t>
      </w:r>
      <w:r w:rsidRPr="008E4467">
        <w:rPr>
          <w:rFonts w:eastAsia="Times New Roman" w:cs="Arial"/>
          <w:lang w:eastAsia="pl-PL"/>
        </w:rPr>
        <w:t xml:space="preserve">staje się </w:t>
      </w:r>
      <w:r>
        <w:rPr>
          <w:rFonts w:eastAsia="Times New Roman" w:cs="Arial"/>
          <w:lang w:eastAsia="pl-PL"/>
        </w:rPr>
        <w:t xml:space="preserve">coraz </w:t>
      </w:r>
      <w:r w:rsidRPr="008E4467">
        <w:rPr>
          <w:rFonts w:eastAsia="Times New Roman" w:cs="Arial"/>
          <w:lang w:eastAsia="pl-PL"/>
        </w:rPr>
        <w:t>bardziej atrakcyjnym i przyjaznym środkiem transportu.</w:t>
      </w:r>
      <w:r>
        <w:rPr>
          <w:rFonts w:eastAsia="Times New Roman" w:cs="Arial"/>
          <w:lang w:eastAsia="pl-PL"/>
        </w:rPr>
        <w:t xml:space="preserve"> Sprawne wykorzystanie przez PLK S.A. środków unijnych ora</w:t>
      </w:r>
      <w:r w:rsidR="0001511C">
        <w:rPr>
          <w:rFonts w:eastAsia="Times New Roman" w:cs="Arial"/>
          <w:lang w:eastAsia="pl-PL"/>
        </w:rPr>
        <w:t>z budżetowych w efekcie poprawiło</w:t>
      </w:r>
      <w:r>
        <w:rPr>
          <w:rFonts w:eastAsia="Times New Roman" w:cs="Arial"/>
          <w:lang w:eastAsia="pl-PL"/>
        </w:rPr>
        <w:t xml:space="preserve"> dostęp </w:t>
      </w:r>
      <w:r w:rsidR="00173A8B">
        <w:rPr>
          <w:rFonts w:eastAsia="Times New Roman" w:cs="Arial"/>
          <w:lang w:eastAsia="pl-PL"/>
        </w:rPr>
        <w:t xml:space="preserve">do ekologicznego środka transportu. </w:t>
      </w:r>
    </w:p>
    <w:p w:rsidR="00173A8B" w:rsidRDefault="00173A8B" w:rsidP="0085150F">
      <w:pPr>
        <w:spacing w:line="360" w:lineRule="auto"/>
        <w:rPr>
          <w:rFonts w:eastAsia="Times New Roman" w:cs="Arial"/>
          <w:b/>
          <w:lang w:eastAsia="pl-PL"/>
        </w:rPr>
      </w:pPr>
      <w:r w:rsidRPr="00173A8B">
        <w:rPr>
          <w:rFonts w:eastAsia="Times New Roman" w:cs="Arial"/>
          <w:b/>
          <w:lang w:eastAsia="pl-PL"/>
        </w:rPr>
        <w:t xml:space="preserve">- </w:t>
      </w:r>
      <w:r w:rsidRPr="00173A8B">
        <w:rPr>
          <w:rFonts w:eastAsia="Times New Roman" w:cs="Arial"/>
          <w:b/>
          <w:i/>
          <w:lang w:eastAsia="pl-PL"/>
        </w:rPr>
        <w:t>Inwestycje rządowe zmieniają polską kolej. Dzięki temu coraz więcej Polaków korzysta z tego środka transportu. Jesteśmy pewni, że kolejne miesiące i kwartały przyniosą kolejne rekordy liczby pasażerów</w:t>
      </w:r>
      <w:r w:rsidRPr="00173A8B">
        <w:rPr>
          <w:rFonts w:eastAsia="Times New Roman" w:cs="Arial"/>
          <w:b/>
          <w:lang w:eastAsia="pl-PL"/>
        </w:rPr>
        <w:t xml:space="preserve"> – mówi minister infrastruktury Andrzej Adamczyk</w:t>
      </w:r>
      <w:r>
        <w:rPr>
          <w:rFonts w:eastAsia="Times New Roman" w:cs="Arial"/>
          <w:b/>
          <w:lang w:eastAsia="pl-PL"/>
        </w:rPr>
        <w:t xml:space="preserve">. </w:t>
      </w:r>
    </w:p>
    <w:p w:rsidR="0071229D" w:rsidRPr="00B0482F" w:rsidRDefault="00B0482F" w:rsidP="0085150F">
      <w:pPr>
        <w:spacing w:line="360" w:lineRule="auto"/>
        <w:rPr>
          <w:rFonts w:eastAsia="Times New Roman" w:cs="Arial"/>
          <w:b/>
          <w:lang w:eastAsia="pl-PL"/>
        </w:rPr>
      </w:pPr>
      <w:r w:rsidRPr="00B0482F">
        <w:rPr>
          <w:rFonts w:eastAsia="Times New Roman" w:cs="Arial"/>
          <w:b/>
          <w:lang w:eastAsia="pl-PL"/>
        </w:rPr>
        <w:t xml:space="preserve">– </w:t>
      </w:r>
      <w:r w:rsidRPr="00B0482F">
        <w:rPr>
          <w:rFonts w:eastAsia="Times New Roman" w:cs="Arial"/>
          <w:b/>
          <w:i/>
          <w:lang w:eastAsia="pl-PL"/>
        </w:rPr>
        <w:t xml:space="preserve">Kolej w woj. kujawsko – pomorskim zmienia się dla wszystkich podróżnych. Modernizujemy stacje i przystanki, aby zachęcić do wyboru transportu kolejowego w codziennych podróżach do pracy lub szkoły. Pasażerowie wsiadają do pociągów bezpieczniej i wygodniej, coraz częściej wybierając kolej jako najbardziej ekologiczny środek transportu </w:t>
      </w:r>
      <w:r w:rsidRPr="00B0482F">
        <w:rPr>
          <w:rFonts w:eastAsia="Times New Roman" w:cs="Arial"/>
          <w:b/>
          <w:lang w:eastAsia="pl-PL"/>
        </w:rPr>
        <w:t xml:space="preserve">– </w:t>
      </w:r>
      <w:r w:rsidR="00173A8B">
        <w:rPr>
          <w:rFonts w:eastAsia="Times New Roman" w:cs="Arial"/>
          <w:b/>
          <w:lang w:eastAsia="pl-PL"/>
        </w:rPr>
        <w:t xml:space="preserve">mówi </w:t>
      </w:r>
      <w:r w:rsidRPr="00B0482F">
        <w:rPr>
          <w:rFonts w:eastAsia="Times New Roman" w:cs="Arial"/>
          <w:b/>
          <w:lang w:eastAsia="pl-PL"/>
        </w:rPr>
        <w:t>Ireneusz Merchel, prezes Zarządu PKP Polskich Linii Kolejowych S.A.</w:t>
      </w:r>
    </w:p>
    <w:p w:rsidR="003A5B34" w:rsidRDefault="003A5B34" w:rsidP="003A5B34">
      <w:pPr>
        <w:spacing w:line="360" w:lineRule="auto"/>
        <w:rPr>
          <w:rFonts w:cs="Arial"/>
        </w:rPr>
      </w:pPr>
      <w:r>
        <w:t xml:space="preserve">Z wyższych, zmodernizowanych peronów łatwiej wejść do pociągów na trasie z Inowrocławia przez Toruń do Jabłonowa Pomorskiego (linia kolejowa nr 353 Poznań Wschód – Skandawa). PLK S.A. przebudowały 15 peronów na stacjach i </w:t>
      </w:r>
      <w:r>
        <w:rPr>
          <w:rFonts w:eastAsia="Calibri" w:cs="Arial"/>
        </w:rPr>
        <w:t xml:space="preserve">przystankach </w:t>
      </w:r>
      <w:r w:rsidRPr="005C41EF">
        <w:rPr>
          <w:rFonts w:eastAsia="Calibri" w:cs="Arial"/>
          <w:b/>
        </w:rPr>
        <w:t xml:space="preserve">Gniewkowo, Suchatówka, Papowo Toruńskie, Turzno, Kamionki Jezioro, Rychnowo Wielkie, Zieleń </w:t>
      </w:r>
      <w:r w:rsidRPr="00777132">
        <w:rPr>
          <w:rFonts w:eastAsia="Calibri" w:cs="Arial"/>
        </w:rPr>
        <w:t>oraz</w:t>
      </w:r>
      <w:r w:rsidRPr="005C41EF">
        <w:rPr>
          <w:rFonts w:eastAsia="Calibri" w:cs="Arial"/>
          <w:b/>
        </w:rPr>
        <w:t xml:space="preserve"> Książki</w:t>
      </w:r>
      <w:r>
        <w:rPr>
          <w:rFonts w:eastAsia="Calibri" w:cs="Arial"/>
        </w:rPr>
        <w:t xml:space="preserve">. Inwestycja pn. </w:t>
      </w:r>
      <w:r w:rsidRPr="007F1E8E">
        <w:rPr>
          <w:rFonts w:cs="Arial"/>
        </w:rPr>
        <w:t>„Poprawa stanu technicznego infrastruktury obsługi podróżnych (w tym dostosowanie do wymagań TSI PRM), Etap IV – infrastruktura pasażerska na liniach rewitalizowan</w:t>
      </w:r>
      <w:r>
        <w:rPr>
          <w:rFonts w:cs="Arial"/>
        </w:rPr>
        <w:t xml:space="preserve">ych w ramach </w:t>
      </w:r>
      <w:proofErr w:type="spellStart"/>
      <w:r>
        <w:rPr>
          <w:rFonts w:cs="Arial"/>
        </w:rPr>
        <w:t>POIiŚ</w:t>
      </w:r>
      <w:proofErr w:type="spellEnd"/>
      <w:r>
        <w:rPr>
          <w:rFonts w:cs="Arial"/>
        </w:rPr>
        <w:t xml:space="preserve"> 2007 – 2013” o wartości ok. 100 mln zł została</w:t>
      </w:r>
      <w:r w:rsidRPr="007F1E8E">
        <w:rPr>
          <w:rFonts w:cs="Arial"/>
        </w:rPr>
        <w:t xml:space="preserve"> współfinansowa</w:t>
      </w:r>
      <w:r>
        <w:rPr>
          <w:rFonts w:cs="Arial"/>
        </w:rPr>
        <w:t>na ze środków Unii Europejskiej – Programu Operacyjnego</w:t>
      </w:r>
      <w:r w:rsidRPr="007F1E8E">
        <w:rPr>
          <w:rFonts w:cs="Arial"/>
        </w:rPr>
        <w:t xml:space="preserve"> Infrastruktura i Środowisko.</w:t>
      </w:r>
    </w:p>
    <w:p w:rsidR="003A5B34" w:rsidRDefault="003A5B34" w:rsidP="003A5B34">
      <w:pPr>
        <w:spacing w:line="360" w:lineRule="auto"/>
        <w:rPr>
          <w:rFonts w:cs="Arial"/>
        </w:rPr>
      </w:pPr>
      <w:r>
        <w:rPr>
          <w:rFonts w:eastAsia="Calibri" w:cs="Arial"/>
        </w:rPr>
        <w:t>Lepsze warunki podróży są również na zrewitalizowanej trasie z Torunia Wschodniego do Chełmży</w:t>
      </w:r>
      <w:r w:rsidR="00B0482F">
        <w:rPr>
          <w:rFonts w:eastAsia="Calibri" w:cs="Arial"/>
        </w:rPr>
        <w:t xml:space="preserve"> (linia kolejowa nr 207 Toruń Wschodni – Malbork)</w:t>
      </w:r>
      <w:r>
        <w:rPr>
          <w:rFonts w:eastAsia="Calibri" w:cs="Arial"/>
        </w:rPr>
        <w:t xml:space="preserve">. Przebudowano perony w </w:t>
      </w:r>
      <w:r w:rsidRPr="003A5B34">
        <w:rPr>
          <w:rFonts w:eastAsia="Calibri" w:cs="Arial"/>
          <w:b/>
        </w:rPr>
        <w:t>Łysomicach</w:t>
      </w:r>
      <w:r>
        <w:rPr>
          <w:rFonts w:eastAsia="Calibri" w:cs="Arial"/>
        </w:rPr>
        <w:t xml:space="preserve">, </w:t>
      </w:r>
      <w:r w:rsidRPr="003A5B34">
        <w:rPr>
          <w:rFonts w:eastAsia="Calibri" w:cs="Arial"/>
          <w:b/>
        </w:rPr>
        <w:t>Ostaszewie Toruńskim</w:t>
      </w:r>
      <w:r>
        <w:rPr>
          <w:rFonts w:eastAsia="Calibri" w:cs="Arial"/>
        </w:rPr>
        <w:t xml:space="preserve"> </w:t>
      </w:r>
      <w:r>
        <w:rPr>
          <w:rFonts w:eastAsia="Times New Roman" w:cs="Arial"/>
          <w:bCs/>
          <w:color w:val="000000" w:themeColor="text1"/>
          <w:lang w:eastAsia="pl-PL"/>
        </w:rPr>
        <w:t>(nowa lokalizacja przystanku bliżej centrum wsi zapewni lepszy dostęp do kolei)</w:t>
      </w:r>
      <w:r>
        <w:rPr>
          <w:rFonts w:eastAsia="Calibri" w:cs="Arial"/>
        </w:rPr>
        <w:t xml:space="preserve"> i </w:t>
      </w:r>
      <w:r w:rsidRPr="003A5B34">
        <w:rPr>
          <w:rFonts w:eastAsia="Calibri" w:cs="Arial"/>
          <w:b/>
        </w:rPr>
        <w:t>Grzywnie</w:t>
      </w:r>
      <w:r>
        <w:rPr>
          <w:rFonts w:eastAsia="Calibri" w:cs="Arial"/>
        </w:rPr>
        <w:t xml:space="preserve">. W czerwcu br. planowane jest oddanie do użytku nowego przystanku Toruń Katarzynka, który zwiększy dostęp do kolei w tej części miasta. </w:t>
      </w:r>
      <w:r>
        <w:rPr>
          <w:rFonts w:cs="Arial"/>
        </w:rPr>
        <w:t>Projekt pn.</w:t>
      </w:r>
      <w:r w:rsidRPr="005645CE">
        <w:rPr>
          <w:rFonts w:cs="Arial"/>
        </w:rPr>
        <w:t xml:space="preserve"> </w:t>
      </w:r>
      <w:r w:rsidRPr="005645CE">
        <w:rPr>
          <w:rFonts w:cs="Arial"/>
          <w:color w:val="000000" w:themeColor="text1"/>
        </w:rPr>
        <w:lastRenderedPageBreak/>
        <w:t>„Rewitalizacja linii kolejowej nr 207 na odc</w:t>
      </w:r>
      <w:r>
        <w:rPr>
          <w:rFonts w:cs="Arial"/>
          <w:color w:val="000000" w:themeColor="text1"/>
        </w:rPr>
        <w:t xml:space="preserve">inku Toruń Wschodni – Chełmża” jest warty blisko </w:t>
      </w:r>
      <w:r>
        <w:rPr>
          <w:rFonts w:cs="Arial"/>
        </w:rPr>
        <w:t>145 mln</w:t>
      </w:r>
      <w:r w:rsidRPr="002B52FD">
        <w:rPr>
          <w:rFonts w:cs="Arial"/>
        </w:rPr>
        <w:t xml:space="preserve"> </w:t>
      </w:r>
      <w:r w:rsidRPr="005645CE">
        <w:rPr>
          <w:rFonts w:cs="Arial"/>
          <w:color w:val="000000" w:themeColor="text1"/>
        </w:rPr>
        <w:t xml:space="preserve">zł </w:t>
      </w:r>
      <w:r>
        <w:rPr>
          <w:rFonts w:cs="Arial"/>
          <w:color w:val="000000" w:themeColor="text1"/>
        </w:rPr>
        <w:t>netto i współfinansowany ze środków</w:t>
      </w:r>
      <w:r w:rsidRPr="005645CE">
        <w:rPr>
          <w:rFonts w:cs="Arial"/>
          <w:color w:val="000000" w:themeColor="text1"/>
        </w:rPr>
        <w:t xml:space="preserve"> Regionalnego Programu Operacyjnego Województwa Kujawsko</w:t>
      </w:r>
      <w:r>
        <w:rPr>
          <w:rFonts w:cs="Arial"/>
          <w:color w:val="000000" w:themeColor="text1"/>
        </w:rPr>
        <w:t xml:space="preserve"> – </w:t>
      </w:r>
      <w:r w:rsidRPr="005645CE">
        <w:rPr>
          <w:rFonts w:cs="Arial"/>
          <w:color w:val="000000" w:themeColor="text1"/>
        </w:rPr>
        <w:t>Pomorskiego</w:t>
      </w:r>
      <w:r>
        <w:rPr>
          <w:rFonts w:cs="Arial"/>
        </w:rPr>
        <w:t xml:space="preserve"> na lata 2014-2020 </w:t>
      </w:r>
      <w:r w:rsidRPr="005645CE">
        <w:rPr>
          <w:rFonts w:cs="Arial"/>
        </w:rPr>
        <w:t>w wysokości 85 proc.</w:t>
      </w:r>
    </w:p>
    <w:p w:rsidR="00F87965" w:rsidRPr="0092135D" w:rsidRDefault="00F87965" w:rsidP="00F87965">
      <w:pPr>
        <w:spacing w:line="360" w:lineRule="auto"/>
      </w:pPr>
      <w:r>
        <w:rPr>
          <w:rFonts w:cs="Arial"/>
        </w:rPr>
        <w:t xml:space="preserve">Podróżni wygodniej wsiadają do pociągów w </w:t>
      </w:r>
      <w:r w:rsidRPr="00F87965">
        <w:rPr>
          <w:rFonts w:cs="Arial"/>
          <w:b/>
        </w:rPr>
        <w:t>Grzybnie</w:t>
      </w:r>
      <w:r>
        <w:rPr>
          <w:rFonts w:cs="Arial"/>
        </w:rPr>
        <w:t xml:space="preserve"> na trasie Bydgoszcz – Chełmża</w:t>
      </w:r>
      <w:r w:rsidR="00B0482F">
        <w:rPr>
          <w:rFonts w:cs="Arial"/>
        </w:rPr>
        <w:t xml:space="preserve"> (linia kolejowa nr 209 Kowalewo Pomorskie – Bydgoszcz Wschód)</w:t>
      </w:r>
      <w:r>
        <w:rPr>
          <w:rFonts w:cs="Arial"/>
        </w:rPr>
        <w:t xml:space="preserve">. To pierwsza inwestycja w regionie zrealizowana ze środków </w:t>
      </w:r>
      <w:r>
        <w:t>„Rządowego Programu</w:t>
      </w:r>
      <w:r w:rsidRPr="00421617">
        <w:t xml:space="preserve"> budowy lub modernizacji przystanków kolejowych na lata </w:t>
      </w:r>
      <w:r>
        <w:t xml:space="preserve">2021-2025”. </w:t>
      </w:r>
      <w:r w:rsidR="00542062">
        <w:t>Koszt zadania wyniósł</w:t>
      </w:r>
      <w:r w:rsidR="00542062" w:rsidRPr="0092135D">
        <w:t xml:space="preserve"> 1,33</w:t>
      </w:r>
      <w:r w:rsidR="00542062">
        <w:t xml:space="preserve"> mln zł netto. </w:t>
      </w:r>
      <w:r>
        <w:rPr>
          <w:rStyle w:val="Pogrubienie"/>
          <w:rFonts w:cs="Arial"/>
          <w:b w:val="0"/>
        </w:rPr>
        <w:t>Program na terenie woj. kujawsko – pomorskiego obejmuje</w:t>
      </w:r>
      <w:r w:rsidRPr="00815D79">
        <w:rPr>
          <w:rStyle w:val="Pogrubienie"/>
          <w:rFonts w:cs="Arial"/>
          <w:b w:val="0"/>
        </w:rPr>
        <w:t xml:space="preserve"> </w:t>
      </w:r>
      <w:r>
        <w:rPr>
          <w:rStyle w:val="Pogrubienie"/>
          <w:rFonts w:cs="Arial"/>
          <w:b w:val="0"/>
        </w:rPr>
        <w:t>11 lokalizacji</w:t>
      </w:r>
      <w:r w:rsidRPr="00815D79">
        <w:rPr>
          <w:rStyle w:val="Pogrubienie"/>
          <w:rFonts w:cs="Arial"/>
          <w:b w:val="0"/>
        </w:rPr>
        <w:t xml:space="preserve"> na</w:t>
      </w:r>
      <w:r>
        <w:rPr>
          <w:rStyle w:val="Pogrubienie"/>
          <w:rFonts w:cs="Arial"/>
          <w:b w:val="0"/>
        </w:rPr>
        <w:t xml:space="preserve"> liście podstawowej, w tym m.in. budowę</w:t>
      </w:r>
      <w:r w:rsidRPr="00815D79">
        <w:rPr>
          <w:rStyle w:val="Pogrubienie"/>
          <w:rFonts w:cs="Arial"/>
          <w:b w:val="0"/>
        </w:rPr>
        <w:t xml:space="preserve"> nowych przystanków </w:t>
      </w:r>
      <w:r w:rsidRPr="00815D79">
        <w:t xml:space="preserve">Grudziądz Centrum, </w:t>
      </w:r>
      <w:r>
        <w:t xml:space="preserve">Grudziądz Tuszewo, Grudziądz Rządz, Tuchola Rudzki Most oraz przebudowę przejścia podziemnego na stacji Nakło nad Notecią. Na wymienione lokalizacje podpisano już umowy na przygotowanie dokumentacji projektowych oraz realizację prac budowlanych. </w:t>
      </w:r>
      <w:r w:rsidR="0001511C" w:rsidRPr="00421617">
        <w:t>Celem</w:t>
      </w:r>
      <w:r w:rsidR="0001511C">
        <w:t xml:space="preserve"> programu</w:t>
      </w:r>
      <w:r w:rsidR="0001511C" w:rsidRPr="00421617"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międzywojewódzkiej.</w:t>
      </w:r>
    </w:p>
    <w:p w:rsidR="0001511C" w:rsidRPr="00671E21" w:rsidRDefault="0001511C" w:rsidP="0001511C">
      <w:pPr>
        <w:spacing w:line="360" w:lineRule="auto"/>
      </w:pPr>
      <w:r>
        <w:rPr>
          <w:rFonts w:cs="Arial"/>
        </w:rPr>
        <w:t xml:space="preserve">Na wszystkich zmodernizowanych peronach, dzięki zabudowie wyższej konstrukcji, podróżnym łatwiej wsiada się do pociągów. </w:t>
      </w:r>
      <w:r>
        <w:t>Dla osób o ograniczonej możliwości poruszania się przygotowano wygodne dojście oraz antypoślizgową nawierzchnię</w:t>
      </w:r>
      <w:r w:rsidRPr="00671E21">
        <w:t xml:space="preserve"> ze ścieżkami naprowadzającymi</w:t>
      </w:r>
      <w:r>
        <w:t xml:space="preserve">. Zamontowano wiaty, ławki, </w:t>
      </w:r>
      <w:r w:rsidRPr="00671E21">
        <w:t>gabloty informacyjne z rozkładem jazdy oraz czytelne oznakowanie.</w:t>
      </w:r>
      <w:r>
        <w:t xml:space="preserve"> Jest jaśniejsze</w:t>
      </w:r>
      <w:r w:rsidRPr="00671E21">
        <w:t xml:space="preserve"> oświetlenie</w:t>
      </w:r>
      <w:r>
        <w:t>, a</w:t>
      </w:r>
      <w:r w:rsidRPr="001A0115">
        <w:t xml:space="preserve"> </w:t>
      </w:r>
      <w:r>
        <w:t>dla podróżnych dojeżdżających rowerem są stojaki.</w:t>
      </w:r>
    </w:p>
    <w:p w:rsidR="003A5B34" w:rsidRPr="00B6597F" w:rsidRDefault="00542062" w:rsidP="003A5B34">
      <w:pPr>
        <w:spacing w:line="360" w:lineRule="auto"/>
        <w:rPr>
          <w:rFonts w:cs="Arial"/>
        </w:rPr>
      </w:pPr>
      <w:r>
        <w:rPr>
          <w:rFonts w:cs="Arial"/>
        </w:rPr>
        <w:t xml:space="preserve">W ramach bieżących prac wykonanych przez PLK S.A. w 2022 r. na kujawsko-pomorskich stacjach i przystankach, zamontowano 26 nowych wiat m. in. w </w:t>
      </w:r>
      <w:r w:rsidRPr="00542062">
        <w:rPr>
          <w:rFonts w:cs="Arial"/>
          <w:b/>
        </w:rPr>
        <w:t>Serocku</w:t>
      </w:r>
      <w:r>
        <w:rPr>
          <w:rFonts w:cs="Arial"/>
        </w:rPr>
        <w:t xml:space="preserve">, </w:t>
      </w:r>
      <w:r w:rsidRPr="00542062">
        <w:rPr>
          <w:rFonts w:cs="Arial"/>
          <w:b/>
        </w:rPr>
        <w:t>Maksymilianowie</w:t>
      </w:r>
      <w:r>
        <w:rPr>
          <w:rFonts w:cs="Arial"/>
        </w:rPr>
        <w:t xml:space="preserve">, </w:t>
      </w:r>
      <w:r w:rsidRPr="00542062">
        <w:rPr>
          <w:rFonts w:cs="Arial"/>
          <w:b/>
        </w:rPr>
        <w:t>Bydgoszczy Zachód</w:t>
      </w:r>
      <w:r>
        <w:rPr>
          <w:rFonts w:cs="Arial"/>
        </w:rPr>
        <w:t xml:space="preserve">, </w:t>
      </w:r>
      <w:r w:rsidRPr="00542062">
        <w:rPr>
          <w:rFonts w:cs="Arial"/>
          <w:b/>
        </w:rPr>
        <w:t>Inowrocławiu</w:t>
      </w:r>
      <w:r>
        <w:rPr>
          <w:rFonts w:cs="Arial"/>
        </w:rPr>
        <w:t xml:space="preserve"> i </w:t>
      </w:r>
      <w:r w:rsidRPr="00542062">
        <w:rPr>
          <w:rFonts w:cs="Arial"/>
          <w:b/>
        </w:rPr>
        <w:t>Toruniu Kluczykach</w:t>
      </w:r>
      <w:r>
        <w:rPr>
          <w:rFonts w:cs="Arial"/>
        </w:rPr>
        <w:t xml:space="preserve">. Elementy nowego, czytelniejszego oznakowania, są m. in. w </w:t>
      </w:r>
      <w:r w:rsidRPr="00542062">
        <w:rPr>
          <w:rFonts w:cs="Arial"/>
          <w:b/>
        </w:rPr>
        <w:t>Ostromecku</w:t>
      </w:r>
      <w:r>
        <w:rPr>
          <w:rFonts w:cs="Arial"/>
        </w:rPr>
        <w:t xml:space="preserve">, </w:t>
      </w:r>
      <w:r w:rsidRPr="00542062">
        <w:rPr>
          <w:rFonts w:cs="Arial"/>
          <w:b/>
        </w:rPr>
        <w:t>Bydgoszczy Fordonie</w:t>
      </w:r>
      <w:r>
        <w:rPr>
          <w:rFonts w:cs="Arial"/>
        </w:rPr>
        <w:t xml:space="preserve"> i </w:t>
      </w:r>
      <w:r w:rsidRPr="00542062">
        <w:rPr>
          <w:rFonts w:cs="Arial"/>
          <w:b/>
        </w:rPr>
        <w:t>Warlubiu</w:t>
      </w:r>
      <w:r>
        <w:rPr>
          <w:rFonts w:cs="Arial"/>
        </w:rPr>
        <w:t xml:space="preserve">. Nowe gabloty na rozkłady jazdy i informacje dla podróżnych zamontowano </w:t>
      </w:r>
      <w:r w:rsidR="00F062D0">
        <w:rPr>
          <w:rFonts w:cs="Arial"/>
        </w:rPr>
        <w:t xml:space="preserve">w </w:t>
      </w:r>
      <w:r w:rsidR="00F062D0" w:rsidRPr="00F062D0">
        <w:rPr>
          <w:rFonts w:cs="Arial"/>
          <w:b/>
        </w:rPr>
        <w:t>Bydgoszczy Błoniu</w:t>
      </w:r>
      <w:r w:rsidR="00F062D0">
        <w:rPr>
          <w:rFonts w:cs="Arial"/>
        </w:rPr>
        <w:t xml:space="preserve"> i </w:t>
      </w:r>
      <w:r w:rsidR="00F062D0" w:rsidRPr="00F062D0">
        <w:rPr>
          <w:rFonts w:cs="Arial"/>
          <w:b/>
        </w:rPr>
        <w:t>Rynkowie Wiadukt</w:t>
      </w:r>
      <w:r w:rsidR="00F062D0">
        <w:rPr>
          <w:rFonts w:cs="Arial"/>
        </w:rPr>
        <w:t xml:space="preserve">. W </w:t>
      </w:r>
      <w:r w:rsidR="00F062D0" w:rsidRPr="00F062D0">
        <w:rPr>
          <w:rFonts w:cs="Arial"/>
          <w:b/>
        </w:rPr>
        <w:t>Śliwiczkach</w:t>
      </w:r>
      <w:r w:rsidR="00F062D0">
        <w:rPr>
          <w:rFonts w:cs="Arial"/>
        </w:rPr>
        <w:t xml:space="preserve"> i </w:t>
      </w:r>
      <w:r w:rsidR="00F062D0" w:rsidRPr="00F062D0">
        <w:rPr>
          <w:rFonts w:cs="Arial"/>
          <w:b/>
        </w:rPr>
        <w:t>Tleniu</w:t>
      </w:r>
      <w:r w:rsidR="00F062D0">
        <w:rPr>
          <w:rFonts w:cs="Arial"/>
        </w:rPr>
        <w:t>, na linii z Laskowic Pomorskich do Czerska, podwyższono oraz wymieniono nawierzchnię peronów. Łączny koszt tych prac ze środków budżetowych PLK S.A. wyniósł ponad 1,1</w:t>
      </w:r>
      <w:r w:rsidR="00B0482F">
        <w:rPr>
          <w:rFonts w:cs="Arial"/>
        </w:rPr>
        <w:t xml:space="preserve"> </w:t>
      </w:r>
      <w:r w:rsidR="00F062D0">
        <w:rPr>
          <w:rFonts w:cs="Arial"/>
        </w:rPr>
        <w:t>mln zł netto.</w:t>
      </w:r>
      <w:bookmarkStart w:id="0" w:name="_GoBack"/>
      <w:bookmarkEnd w:id="0"/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A3" w:rsidRDefault="00F943A3" w:rsidP="009D1AEB">
      <w:pPr>
        <w:spacing w:after="0" w:line="240" w:lineRule="auto"/>
      </w:pPr>
      <w:r>
        <w:separator/>
      </w:r>
    </w:p>
  </w:endnote>
  <w:endnote w:type="continuationSeparator" w:id="0">
    <w:p w:rsidR="00F943A3" w:rsidRDefault="00F943A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A3" w:rsidRDefault="00F943A3" w:rsidP="009D1AEB">
      <w:pPr>
        <w:spacing w:after="0" w:line="240" w:lineRule="auto"/>
      </w:pPr>
      <w:r>
        <w:separator/>
      </w:r>
    </w:p>
  </w:footnote>
  <w:footnote w:type="continuationSeparator" w:id="0">
    <w:p w:rsidR="00F943A3" w:rsidRDefault="00F943A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1511C"/>
    <w:rsid w:val="00023C45"/>
    <w:rsid w:val="000602CB"/>
    <w:rsid w:val="00072424"/>
    <w:rsid w:val="00072994"/>
    <w:rsid w:val="000A0ECD"/>
    <w:rsid w:val="000A3B2B"/>
    <w:rsid w:val="000C1151"/>
    <w:rsid w:val="000D3EC2"/>
    <w:rsid w:val="000D4320"/>
    <w:rsid w:val="000D4686"/>
    <w:rsid w:val="000F1E4F"/>
    <w:rsid w:val="00106CFB"/>
    <w:rsid w:val="0014543B"/>
    <w:rsid w:val="00173A8B"/>
    <w:rsid w:val="00191DED"/>
    <w:rsid w:val="001A0115"/>
    <w:rsid w:val="001A0D1E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2544"/>
    <w:rsid w:val="002A16AD"/>
    <w:rsid w:val="002B017D"/>
    <w:rsid w:val="002B3AE1"/>
    <w:rsid w:val="002E3404"/>
    <w:rsid w:val="002F50E1"/>
    <w:rsid w:val="002F6767"/>
    <w:rsid w:val="00300D8C"/>
    <w:rsid w:val="00303B5A"/>
    <w:rsid w:val="00306C27"/>
    <w:rsid w:val="00341B9D"/>
    <w:rsid w:val="00357A92"/>
    <w:rsid w:val="003621C9"/>
    <w:rsid w:val="003645B2"/>
    <w:rsid w:val="00371D37"/>
    <w:rsid w:val="00376C3F"/>
    <w:rsid w:val="0039370D"/>
    <w:rsid w:val="00394C06"/>
    <w:rsid w:val="003A1670"/>
    <w:rsid w:val="003A44A5"/>
    <w:rsid w:val="003A5B34"/>
    <w:rsid w:val="003B525D"/>
    <w:rsid w:val="003C5E6C"/>
    <w:rsid w:val="003F5E5F"/>
    <w:rsid w:val="00401F21"/>
    <w:rsid w:val="004159CA"/>
    <w:rsid w:val="00421617"/>
    <w:rsid w:val="00450285"/>
    <w:rsid w:val="004A17DD"/>
    <w:rsid w:val="004E3D71"/>
    <w:rsid w:val="00505958"/>
    <w:rsid w:val="00531FF3"/>
    <w:rsid w:val="00541B5B"/>
    <w:rsid w:val="00542062"/>
    <w:rsid w:val="00567F1D"/>
    <w:rsid w:val="005943F9"/>
    <w:rsid w:val="005A243C"/>
    <w:rsid w:val="005A3CB3"/>
    <w:rsid w:val="005B1DC4"/>
    <w:rsid w:val="005C478F"/>
    <w:rsid w:val="005C6B81"/>
    <w:rsid w:val="005E5A21"/>
    <w:rsid w:val="00607A57"/>
    <w:rsid w:val="00622F42"/>
    <w:rsid w:val="006331ED"/>
    <w:rsid w:val="0063625B"/>
    <w:rsid w:val="006365C4"/>
    <w:rsid w:val="00667238"/>
    <w:rsid w:val="00671E21"/>
    <w:rsid w:val="00686E7C"/>
    <w:rsid w:val="006B0E61"/>
    <w:rsid w:val="006B1136"/>
    <w:rsid w:val="006C6C1C"/>
    <w:rsid w:val="006D2DA7"/>
    <w:rsid w:val="006E00F9"/>
    <w:rsid w:val="0071229D"/>
    <w:rsid w:val="007317F6"/>
    <w:rsid w:val="00742519"/>
    <w:rsid w:val="007534D3"/>
    <w:rsid w:val="0077527D"/>
    <w:rsid w:val="00777D9F"/>
    <w:rsid w:val="007C1108"/>
    <w:rsid w:val="007F0F98"/>
    <w:rsid w:val="007F3648"/>
    <w:rsid w:val="00807C04"/>
    <w:rsid w:val="00814172"/>
    <w:rsid w:val="00815D79"/>
    <w:rsid w:val="0081625D"/>
    <w:rsid w:val="0083684F"/>
    <w:rsid w:val="0085150F"/>
    <w:rsid w:val="00860074"/>
    <w:rsid w:val="008832CE"/>
    <w:rsid w:val="0088348C"/>
    <w:rsid w:val="00883510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85E0A"/>
    <w:rsid w:val="0098703D"/>
    <w:rsid w:val="00990FF7"/>
    <w:rsid w:val="009924DF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35828"/>
    <w:rsid w:val="00A50313"/>
    <w:rsid w:val="00A655C8"/>
    <w:rsid w:val="00A72B76"/>
    <w:rsid w:val="00A767A4"/>
    <w:rsid w:val="00A81BA1"/>
    <w:rsid w:val="00A90B6F"/>
    <w:rsid w:val="00A978EE"/>
    <w:rsid w:val="00AA51CB"/>
    <w:rsid w:val="00AE56CD"/>
    <w:rsid w:val="00AF5ABF"/>
    <w:rsid w:val="00B017F3"/>
    <w:rsid w:val="00B0482F"/>
    <w:rsid w:val="00B05DA7"/>
    <w:rsid w:val="00B41166"/>
    <w:rsid w:val="00B54E4C"/>
    <w:rsid w:val="00B5615C"/>
    <w:rsid w:val="00B648AA"/>
    <w:rsid w:val="00B90F0C"/>
    <w:rsid w:val="00B94265"/>
    <w:rsid w:val="00BB5E5E"/>
    <w:rsid w:val="00BC00C0"/>
    <w:rsid w:val="00BC1218"/>
    <w:rsid w:val="00BC4660"/>
    <w:rsid w:val="00BD74B2"/>
    <w:rsid w:val="00BF426A"/>
    <w:rsid w:val="00C239CE"/>
    <w:rsid w:val="00C35071"/>
    <w:rsid w:val="00C46713"/>
    <w:rsid w:val="00C7784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538DA"/>
    <w:rsid w:val="00D55254"/>
    <w:rsid w:val="00D56C12"/>
    <w:rsid w:val="00D70AD7"/>
    <w:rsid w:val="00D74A33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00254"/>
    <w:rsid w:val="00E13559"/>
    <w:rsid w:val="00E1441D"/>
    <w:rsid w:val="00E204CB"/>
    <w:rsid w:val="00E738FB"/>
    <w:rsid w:val="00EA4FB3"/>
    <w:rsid w:val="00EC2E33"/>
    <w:rsid w:val="00EC2ED8"/>
    <w:rsid w:val="00F032E9"/>
    <w:rsid w:val="00F062D0"/>
    <w:rsid w:val="00F0640B"/>
    <w:rsid w:val="00F10097"/>
    <w:rsid w:val="00F16B83"/>
    <w:rsid w:val="00F33FD9"/>
    <w:rsid w:val="00F56DD5"/>
    <w:rsid w:val="00F77B6F"/>
    <w:rsid w:val="00F87965"/>
    <w:rsid w:val="00F92440"/>
    <w:rsid w:val="00F9361F"/>
    <w:rsid w:val="00F943A3"/>
    <w:rsid w:val="00FA448D"/>
    <w:rsid w:val="00FC1052"/>
    <w:rsid w:val="00FC2434"/>
    <w:rsid w:val="00FC4DC9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A9C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0C7D-EF3D-4706-98AE-7838D4BF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w woj. kujawsko-pomorskim zmienia się dla podróżnych</vt:lpstr>
    </vt:vector>
  </TitlesOfParts>
  <Company>PKP PLK S.A.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w woj. kujawsko-pomorskim zmienia się dla podróżnych</dc:title>
  <dc:subject/>
  <dc:creator>Przemyslaw.Zielinski2@plk-sa.pl</dc:creator>
  <cp:keywords/>
  <dc:description/>
  <cp:lastModifiedBy>Janus Magdalena</cp:lastModifiedBy>
  <cp:revision>2</cp:revision>
  <dcterms:created xsi:type="dcterms:W3CDTF">2023-02-15T10:09:00Z</dcterms:created>
  <dcterms:modified xsi:type="dcterms:W3CDTF">2023-02-15T10:09:00Z</dcterms:modified>
</cp:coreProperties>
</file>